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4D" w:rsidRPr="00354988" w:rsidRDefault="00DF6C4D" w:rsidP="00DF6C4D">
      <w:pPr>
        <w:pStyle w:val="Chapitre"/>
      </w:pPr>
      <w:r w:rsidRPr="00354988">
        <w:t>DOSSIER</w:t>
      </w:r>
      <w:r w:rsidR="00AF1DA2">
        <w:t xml:space="preserve"> </w:t>
      </w:r>
      <w:bookmarkStart w:id="0" w:name="_GoBack"/>
      <w:bookmarkEnd w:id="0"/>
      <w:r w:rsidR="005F530D">
        <w:t xml:space="preserve"> </w:t>
      </w:r>
      <w:r w:rsidRPr="00354988">
        <w:t>–</w:t>
      </w:r>
      <w:r w:rsidR="00AF1DA2">
        <w:t xml:space="preserve"> </w:t>
      </w:r>
      <w:r w:rsidRPr="00354988">
        <w:t xml:space="preserve"> L</w:t>
      </w:r>
      <w:r>
        <w:t>E DÉVELOPPEMENT DE L’ENTREPRISE</w:t>
      </w:r>
    </w:p>
    <w:p w:rsidR="00DF6C4D" w:rsidRPr="001922D5" w:rsidRDefault="00DF6C4D" w:rsidP="00DF6C4D">
      <w:pPr>
        <w:rPr>
          <w:rFonts w:ascii="Arial" w:hAnsi="Arial" w:cs="Arial"/>
          <w:sz w:val="24"/>
          <w:szCs w:val="24"/>
        </w:rPr>
      </w:pPr>
    </w:p>
    <w:p w:rsidR="00DF6C4D" w:rsidRPr="00B00C91" w:rsidRDefault="00DF6C4D" w:rsidP="00DF6C4D">
      <w:r w:rsidRPr="00B00C91">
        <w:t>L’entreprise jouit d’une ren</w:t>
      </w:r>
      <w:r>
        <w:t>ommée certaine.</w:t>
      </w:r>
      <w:r w:rsidRPr="00B00C91">
        <w:t xml:space="preserve"> Monsieur Schiller souhaite pouvoir répondre à de grosses commandes dans des délais raisonnables et à des tarifs attractifs, tout en gar</w:t>
      </w:r>
      <w:r>
        <w:t>dant une longueur d’avance sur s</w:t>
      </w:r>
      <w:r w:rsidRPr="00B00C91">
        <w:t>es concurrents.</w:t>
      </w:r>
    </w:p>
    <w:p w:rsidR="00DF6C4D" w:rsidRPr="00B00C91" w:rsidRDefault="00DF6C4D" w:rsidP="00DF6C4D">
      <w:r w:rsidRPr="00B00C91">
        <w:t xml:space="preserve">Pour ce faire, l’entreprise doit faire l’acquisition d’une nouvelle machine capable dans un premier temps de produire des </w:t>
      </w:r>
      <w:r>
        <w:t>gaines</w:t>
      </w:r>
      <w:r w:rsidRPr="00B00C91">
        <w:t xml:space="preserve"> de textile puis </w:t>
      </w:r>
      <w:r>
        <w:t xml:space="preserve">dans un deuxième temps </w:t>
      </w:r>
      <w:r w:rsidRPr="00B00C91">
        <w:t>des bulles et mousse</w:t>
      </w:r>
      <w:r>
        <w:t>s</w:t>
      </w:r>
      <w:r w:rsidRPr="00B00C91">
        <w:t>. Cette machine représente un gros investissement pour l’entreprise. Monsieur Schiller hésite encore sur le mode de financement.</w:t>
      </w:r>
    </w:p>
    <w:p w:rsidR="00DF6C4D" w:rsidRDefault="00DF6C4D" w:rsidP="00DF6C4D"/>
    <w:p w:rsidR="00DF6C4D" w:rsidRPr="00B00C91" w:rsidRDefault="00DF6C4D" w:rsidP="00DF6C4D">
      <w:r w:rsidRPr="00B00C91">
        <w:t xml:space="preserve">Vous disposez des </w:t>
      </w:r>
      <w:r w:rsidRPr="00DF6C4D">
        <w:rPr>
          <w:b/>
        </w:rPr>
        <w:t xml:space="preserve">annexes </w:t>
      </w:r>
      <w:r w:rsidR="00F17BE7">
        <w:rPr>
          <w:b/>
        </w:rPr>
        <w:t>1</w:t>
      </w:r>
      <w:r w:rsidRPr="00DF6C4D">
        <w:rPr>
          <w:b/>
        </w:rPr>
        <w:t xml:space="preserve"> à </w:t>
      </w:r>
      <w:r w:rsidR="00F17BE7">
        <w:rPr>
          <w:b/>
        </w:rPr>
        <w:t>4</w:t>
      </w:r>
      <w:r w:rsidRPr="00B00C91">
        <w:t xml:space="preserve"> pour traiter ce dossier.</w:t>
      </w:r>
    </w:p>
    <w:p w:rsidR="00DF6C4D" w:rsidRPr="00B00C91" w:rsidRDefault="00DF6C4D" w:rsidP="00DF6C4D">
      <w:pPr>
        <w:rPr>
          <w:rFonts w:ascii="Arial" w:hAnsi="Arial" w:cs="Arial"/>
          <w:sz w:val="22"/>
          <w:szCs w:val="22"/>
        </w:rPr>
      </w:pPr>
    </w:p>
    <w:p w:rsidR="00DF6C4D" w:rsidRPr="00DF6C4D" w:rsidRDefault="00DF6C4D" w:rsidP="00DF6C4D">
      <w:pPr>
        <w:pStyle w:val="Titre6"/>
        <w:rPr>
          <w:bCs w:val="0"/>
        </w:rPr>
      </w:pPr>
      <w:r w:rsidRPr="00DF6C4D">
        <w:rPr>
          <w:bCs w:val="0"/>
        </w:rPr>
        <w:t>A – Investissement et financement</w:t>
      </w:r>
    </w:p>
    <w:p w:rsidR="00DF6C4D" w:rsidRPr="00392431" w:rsidRDefault="00DF6C4D" w:rsidP="00DF6C4D"/>
    <w:p w:rsidR="00DF6C4D" w:rsidRPr="00DF6C4D" w:rsidRDefault="00DF6C4D" w:rsidP="00DF6C4D">
      <w:r w:rsidRPr="00DF6C4D">
        <w:t>Le coût d’acquisition de la machine destinée à la fabrication de gaine textile s’élève à 50 000 € HT.</w:t>
      </w:r>
    </w:p>
    <w:p w:rsidR="00DF6C4D" w:rsidRDefault="00DF6C4D" w:rsidP="00DF6C4D">
      <w:pPr>
        <w:rPr>
          <w:rFonts w:ascii="Arial" w:hAnsi="Arial" w:cs="Arial"/>
          <w:sz w:val="22"/>
          <w:szCs w:val="22"/>
        </w:rPr>
      </w:pPr>
    </w:p>
    <w:p w:rsidR="00DF6C4D" w:rsidRDefault="00DF6C4D" w:rsidP="00DF6C4D">
      <w:pPr>
        <w:pStyle w:val="TAF"/>
      </w:pPr>
      <w:r w:rsidRPr="003D7CFF">
        <w:t>Travail à faire</w:t>
      </w:r>
    </w:p>
    <w:p w:rsidR="00DF6C4D" w:rsidRPr="003D7CFF" w:rsidRDefault="00DF6C4D" w:rsidP="00DF6C4D">
      <w:pPr>
        <w:pStyle w:val="TAF"/>
      </w:pPr>
    </w:p>
    <w:p w:rsidR="00DF6C4D" w:rsidRDefault="00DF6C4D" w:rsidP="00DF6C4D">
      <w:pPr>
        <w:pStyle w:val="Questions"/>
        <w:numPr>
          <w:ilvl w:val="0"/>
          <w:numId w:val="12"/>
        </w:numPr>
      </w:pPr>
      <w:r>
        <w:t>Quels sont les différents modes de financement de l’investissement qui peuvent être utilisés par l’entreprise ?</w:t>
      </w:r>
    </w:p>
    <w:p w:rsidR="00DF6C4D" w:rsidRDefault="00DF6C4D" w:rsidP="00DF6C4D">
      <w:pPr>
        <w:pStyle w:val="Questions"/>
      </w:pPr>
      <w:r w:rsidRPr="0078261F">
        <w:t xml:space="preserve">Le responsable comptable conseille à Monsieur Schiller de financer cet investissement par fonds propres. Justifier les motifs de cette proposition en vous fondant sur les documents de l’annexe </w:t>
      </w:r>
      <w:r w:rsidR="00F17BE7">
        <w:t>2</w:t>
      </w:r>
    </w:p>
    <w:p w:rsidR="00DF6C4D" w:rsidRPr="00273126" w:rsidRDefault="00DF6C4D" w:rsidP="00DF6C4D">
      <w:pPr>
        <w:pStyle w:val="Questions"/>
      </w:pPr>
      <w:r>
        <w:t>Enregistrer au journal de l’entreprise SOFIBO la facture d’acquisition de la nouvelle machine à</w:t>
      </w:r>
      <w:r w:rsidRPr="00B00C91">
        <w:t xml:space="preserve"> l’aide de l’annexe </w:t>
      </w:r>
      <w:r w:rsidR="00F17BE7">
        <w:t>1</w:t>
      </w:r>
      <w:r>
        <w:t>.</w:t>
      </w:r>
    </w:p>
    <w:p w:rsidR="00DF6C4D" w:rsidRDefault="00DF6C4D" w:rsidP="00DF6C4D">
      <w:pPr>
        <w:shd w:val="clear" w:color="auto" w:fill="FFFFFF"/>
        <w:tabs>
          <w:tab w:val="left" w:pos="355"/>
        </w:tabs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:rsidR="00DF6C4D" w:rsidRDefault="00DF6C4D" w:rsidP="00DF6C4D">
      <w:pPr>
        <w:shd w:val="clear" w:color="auto" w:fill="FFFFFF"/>
        <w:tabs>
          <w:tab w:val="left" w:pos="355"/>
        </w:tabs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:rsidR="00DF6C4D" w:rsidRDefault="00DF6C4D" w:rsidP="00DF6C4D">
      <w:pPr>
        <w:shd w:val="clear" w:color="auto" w:fill="FFFFFF"/>
        <w:tabs>
          <w:tab w:val="left" w:pos="355"/>
        </w:tabs>
        <w:spacing w:before="120"/>
        <w:ind w:left="425"/>
        <w:rPr>
          <w:rFonts w:ascii="Arial" w:hAnsi="Arial" w:cs="Arial"/>
          <w:b/>
          <w:sz w:val="22"/>
          <w:szCs w:val="22"/>
        </w:rPr>
      </w:pPr>
    </w:p>
    <w:p w:rsidR="00DF6C4D" w:rsidRPr="00DF6C4D" w:rsidRDefault="00DF6C4D" w:rsidP="00DF6C4D">
      <w:pPr>
        <w:pStyle w:val="Titre6"/>
        <w:rPr>
          <w:bCs w:val="0"/>
        </w:rPr>
      </w:pPr>
      <w:r w:rsidRPr="00DF6C4D">
        <w:rPr>
          <w:bCs w:val="0"/>
        </w:rPr>
        <w:t>B – Suivi des immobilisations</w:t>
      </w:r>
    </w:p>
    <w:p w:rsidR="00DF6C4D" w:rsidRDefault="00DF6C4D" w:rsidP="00DF6C4D">
      <w:pPr>
        <w:rPr>
          <w:caps/>
          <w:sz w:val="22"/>
          <w:szCs w:val="22"/>
        </w:rPr>
      </w:pPr>
    </w:p>
    <w:p w:rsidR="00DF6C4D" w:rsidRDefault="00DF6C4D" w:rsidP="00DF6C4D">
      <w:r>
        <w:t>Monsieur Schiller vous indique que la machine</w:t>
      </w:r>
      <w:r w:rsidRPr="00666EA6">
        <w:t xml:space="preserve"> </w:t>
      </w:r>
      <w:r>
        <w:t>destinée à la fabrication de gaine textile sera mise en service le 1</w:t>
      </w:r>
      <w:r w:rsidRPr="007F7DF2">
        <w:rPr>
          <w:vertAlign w:val="superscript"/>
        </w:rPr>
        <w:t>er</w:t>
      </w:r>
      <w:r>
        <w:t xml:space="preserve"> octobre 2013 et amortie sur une durée de 5 ans en mode linéaire.</w:t>
      </w:r>
    </w:p>
    <w:p w:rsidR="00DF6C4D" w:rsidRDefault="00DF6C4D" w:rsidP="00DF6C4D">
      <w:r>
        <w:t xml:space="preserve">Vous disposez en </w:t>
      </w:r>
      <w:r w:rsidRPr="00DF6C4D">
        <w:rPr>
          <w:b/>
        </w:rPr>
        <w:t xml:space="preserve">annexe </w:t>
      </w:r>
      <w:r w:rsidR="00F17BE7">
        <w:rPr>
          <w:b/>
        </w:rPr>
        <w:t>3</w:t>
      </w:r>
      <w:r>
        <w:t xml:space="preserve"> du plan d’amortissement de la machine et en </w:t>
      </w:r>
      <w:r w:rsidRPr="00DF6C4D">
        <w:rPr>
          <w:b/>
        </w:rPr>
        <w:t xml:space="preserve">annexe </w:t>
      </w:r>
      <w:r w:rsidR="00F17BE7">
        <w:rPr>
          <w:b/>
        </w:rPr>
        <w:t>4</w:t>
      </w:r>
      <w:r>
        <w:t xml:space="preserve"> des extraits des tableaux de l’annexe.</w:t>
      </w:r>
    </w:p>
    <w:p w:rsidR="00DF6C4D" w:rsidRDefault="00DF6C4D" w:rsidP="00DF6C4D"/>
    <w:p w:rsidR="00DF6C4D" w:rsidRDefault="00DF6C4D" w:rsidP="00DF6C4D">
      <w:pPr>
        <w:pStyle w:val="TAF"/>
      </w:pPr>
      <w:r w:rsidRPr="003D7CFF">
        <w:t>Travail à faire</w:t>
      </w:r>
    </w:p>
    <w:p w:rsidR="00DF6C4D" w:rsidRPr="00DF6C4D" w:rsidRDefault="00DF6C4D" w:rsidP="00DF6C4D"/>
    <w:p w:rsidR="00DF6C4D" w:rsidRDefault="00DF6C4D" w:rsidP="00DF6C4D">
      <w:pPr>
        <w:pStyle w:val="Questions"/>
        <w:numPr>
          <w:ilvl w:val="0"/>
          <w:numId w:val="13"/>
        </w:numPr>
      </w:pPr>
      <w:r w:rsidRPr="0006091E">
        <w:t>Dans le tableau des immobilisations</w:t>
      </w:r>
      <w:r>
        <w:t xml:space="preserve"> de l’annexe </w:t>
      </w:r>
      <w:r w:rsidR="00AF1DA2">
        <w:t>4</w:t>
      </w:r>
      <w:r w:rsidRPr="0006091E">
        <w:t xml:space="preserve">, </w:t>
      </w:r>
      <w:r>
        <w:t>à</w:t>
      </w:r>
      <w:r w:rsidRPr="0006091E">
        <w:t xml:space="preserve"> quoi correspond</w:t>
      </w:r>
      <w:r>
        <w:t>ent</w:t>
      </w:r>
      <w:r w:rsidRPr="0006091E">
        <w:t xml:space="preserve"> le</w:t>
      </w:r>
      <w:r>
        <w:t>s</w:t>
      </w:r>
      <w:r w:rsidRPr="0006091E">
        <w:t xml:space="preserve"> montant</w:t>
      </w:r>
      <w:r>
        <w:t>s</w:t>
      </w:r>
      <w:r w:rsidRPr="0006091E">
        <w:t xml:space="preserve"> </w:t>
      </w:r>
      <w:r>
        <w:t>inscrits</w:t>
      </w:r>
      <w:r w:rsidRPr="0006091E">
        <w:t xml:space="preserve"> dans la colonne B</w:t>
      </w:r>
      <w:r>
        <w:t xml:space="preserve"> </w:t>
      </w:r>
      <w:r w:rsidRPr="0006091E">
        <w:t>?</w:t>
      </w:r>
    </w:p>
    <w:p w:rsidR="00DF6C4D" w:rsidRPr="0006091E" w:rsidRDefault="00DF6C4D" w:rsidP="00DF6C4D">
      <w:pPr>
        <w:pStyle w:val="Questions"/>
      </w:pPr>
      <w:r>
        <w:t>Enregistrer au journal de l’entreprise SOFIBO</w:t>
      </w:r>
      <w:r w:rsidRPr="0006091E">
        <w:t xml:space="preserve"> la dotation </w:t>
      </w:r>
      <w:r>
        <w:t xml:space="preserve">aux amortissements de la nouvelle machine </w:t>
      </w:r>
      <w:r w:rsidRPr="0006091E">
        <w:t>au 31 décembre 2013.</w:t>
      </w:r>
      <w:r>
        <w:t xml:space="preserve"> </w:t>
      </w:r>
    </w:p>
    <w:p w:rsidR="00DF6C4D" w:rsidRDefault="00DF6C4D" w:rsidP="00DF6C4D">
      <w:pPr>
        <w:pStyle w:val="Questions"/>
      </w:pPr>
      <w:r>
        <w:t>En vertu de quels principes comptables l’entreprise a-t-elle passé cette écriture ?</w:t>
      </w:r>
    </w:p>
    <w:p w:rsidR="00DF6C4D" w:rsidRDefault="00DF6C4D" w:rsidP="00DF6C4D">
      <w:pPr>
        <w:pStyle w:val="Questions"/>
      </w:pPr>
      <w:r>
        <w:t>Préciser l’impact de cette acquisition et de son amortissement dans les tableaux de l’annexe </w:t>
      </w:r>
      <w:r w:rsidR="00F17BE7">
        <w:t>4</w:t>
      </w:r>
      <w:r>
        <w:t>.</w:t>
      </w:r>
    </w:p>
    <w:p w:rsidR="00DF6C4D" w:rsidRDefault="00DF6C4D" w:rsidP="00DF6C4D">
      <w:pPr>
        <w:pStyle w:val="Questions"/>
      </w:pPr>
      <w:r>
        <w:t>Préciser, en quelques lignes, le rôle et le contenu de l’annexe dans l’information comptable et financière.</w:t>
      </w:r>
    </w:p>
    <w:p w:rsidR="00DF6C4D" w:rsidRDefault="00DF6C4D" w:rsidP="00DF6C4D">
      <w:pPr>
        <w:spacing w:before="125" w:line="269" w:lineRule="exact"/>
        <w:rPr>
          <w:rFonts w:ascii="Arial" w:hAnsi="Arial" w:cs="Arial"/>
          <w:b/>
          <w:sz w:val="24"/>
        </w:rPr>
      </w:pPr>
    </w:p>
    <w:p w:rsidR="00DF6C4D" w:rsidRPr="0004040C" w:rsidRDefault="00DF6C4D" w:rsidP="00DF6C4D">
      <w:pPr>
        <w:shd w:val="clear" w:color="auto" w:fill="FFFFFF"/>
        <w:tabs>
          <w:tab w:val="left" w:pos="355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F6C4D" w:rsidRPr="00354988" w:rsidRDefault="00DF6C4D" w:rsidP="00DF6C4D"/>
    <w:p w:rsidR="00D42528" w:rsidRPr="00841C5A" w:rsidRDefault="00D42528" w:rsidP="00D42528">
      <w:pPr>
        <w:rPr>
          <w:rFonts w:ascii="Arial" w:hAnsi="Arial" w:cs="Arial"/>
          <w:noProof/>
          <w:sz w:val="22"/>
          <w:szCs w:val="22"/>
        </w:rPr>
      </w:pPr>
    </w:p>
    <w:p w:rsidR="00D42528" w:rsidRPr="00841C5A" w:rsidRDefault="00D42528" w:rsidP="00D42528">
      <w:pPr>
        <w:spacing w:after="60"/>
        <w:ind w:left="3600"/>
        <w:rPr>
          <w:rFonts w:ascii="Arial" w:hAnsi="Arial" w:cs="Arial"/>
          <w:b/>
          <w:noProof/>
          <w:sz w:val="22"/>
          <w:szCs w:val="22"/>
        </w:rPr>
      </w:pPr>
    </w:p>
    <w:p w:rsidR="00D42528" w:rsidRPr="00FC1DFE" w:rsidRDefault="00D42528" w:rsidP="00FC1DFE">
      <w:pPr>
        <w:pStyle w:val="Titre6"/>
        <w:spacing w:after="120"/>
        <w:rPr>
          <w:bCs w:val="0"/>
          <w:noProof/>
        </w:rPr>
      </w:pPr>
      <w:r w:rsidRPr="00FC1DFE">
        <w:rPr>
          <w:bCs w:val="0"/>
          <w:noProof/>
        </w:rPr>
        <w:lastRenderedPageBreak/>
        <w:t xml:space="preserve">ANNEXE </w:t>
      </w:r>
      <w:r w:rsidR="00F17BE7">
        <w:rPr>
          <w:bCs w:val="0"/>
          <w:noProof/>
        </w:rPr>
        <w:t>1</w:t>
      </w:r>
      <w:r w:rsidRPr="00FC1DFE">
        <w:rPr>
          <w:bCs w:val="0"/>
          <w:noProof/>
        </w:rPr>
        <w:t xml:space="preserve"> – Facture n° 2013-09-19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701"/>
      </w:tblGrid>
      <w:tr w:rsidR="00D42528" w:rsidRPr="00841C5A" w:rsidTr="005F3ED3">
        <w:trPr>
          <w:trHeight w:val="2110"/>
          <w:jc w:val="center"/>
        </w:trPr>
        <w:tc>
          <w:tcPr>
            <w:tcW w:w="3936" w:type="dxa"/>
            <w:tcBorders>
              <w:top w:val="single" w:sz="4" w:space="0" w:color="auto"/>
              <w:bottom w:val="nil"/>
              <w:right w:val="nil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Techniques et mécaniques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Zone de la Neuvillette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51100 REIMS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SOFIBO EMBALLAGES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6, chemin du Barrage</w:t>
            </w:r>
          </w:p>
          <w:p w:rsidR="00D42528" w:rsidRPr="005F3ED3" w:rsidRDefault="005F3ED3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 VALCOURT</w:t>
            </w:r>
          </w:p>
        </w:tc>
      </w:tr>
      <w:tr w:rsidR="00D42528" w:rsidRPr="00841C5A" w:rsidTr="00FC1DF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Le 19 septembre 2013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Facture n°2013-09-19</w:t>
            </w:r>
          </w:p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Echéance : 30 jours fin de mois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</w:tr>
      <w:tr w:rsidR="00D42528" w:rsidRPr="00841C5A" w:rsidTr="00FC1D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528" w:rsidRPr="005F3ED3" w:rsidRDefault="00D42528" w:rsidP="00FC1DFE">
            <w:pPr>
              <w:pStyle w:val="Textedebulles"/>
              <w:spacing w:before="120" w:after="12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Machine « gaine textile 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528" w:rsidRPr="005F3ED3" w:rsidRDefault="00D42528" w:rsidP="00FC1DFE">
            <w:pPr>
              <w:pStyle w:val="Textedebulles"/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before="120" w:after="120" w:line="276" w:lineRule="auto"/>
              <w:jc w:val="right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50 000,00</w:t>
            </w:r>
          </w:p>
        </w:tc>
      </w:tr>
      <w:tr w:rsidR="00D42528" w:rsidRPr="00841C5A" w:rsidTr="00FC1DFE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jc w:val="right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50 000,00</w:t>
            </w:r>
          </w:p>
        </w:tc>
      </w:tr>
      <w:tr w:rsidR="00D42528" w:rsidRPr="00841C5A" w:rsidTr="00FC1DF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TVA 19,60%</w:t>
            </w:r>
          </w:p>
        </w:tc>
        <w:tc>
          <w:tcPr>
            <w:tcW w:w="1701" w:type="dxa"/>
          </w:tcPr>
          <w:p w:rsidR="00D42528" w:rsidRPr="005F3ED3" w:rsidRDefault="00D42528" w:rsidP="00FC1DFE">
            <w:pPr>
              <w:pStyle w:val="Textedebulles"/>
              <w:spacing w:after="60" w:line="276" w:lineRule="auto"/>
              <w:jc w:val="right"/>
              <w:rPr>
                <w:sz w:val="20"/>
                <w:szCs w:val="20"/>
              </w:rPr>
            </w:pPr>
            <w:r w:rsidRPr="005F3ED3">
              <w:rPr>
                <w:sz w:val="20"/>
                <w:szCs w:val="20"/>
              </w:rPr>
              <w:t>9 800,00</w:t>
            </w:r>
          </w:p>
        </w:tc>
      </w:tr>
      <w:tr w:rsidR="00D42528" w:rsidRPr="00841C5A" w:rsidTr="00FC1DFE">
        <w:trPr>
          <w:jc w:val="center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rPr>
                <w:b/>
                <w:sz w:val="20"/>
                <w:szCs w:val="20"/>
              </w:rPr>
            </w:pPr>
            <w:r w:rsidRPr="005F3ED3">
              <w:rPr>
                <w:b/>
                <w:sz w:val="20"/>
                <w:szCs w:val="20"/>
              </w:rPr>
              <w:t>Net à payer TTC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528" w:rsidRPr="005F3ED3" w:rsidRDefault="00D42528" w:rsidP="00FC1DFE">
            <w:pPr>
              <w:pStyle w:val="Textedebulles"/>
              <w:spacing w:after="60" w:line="276" w:lineRule="auto"/>
              <w:jc w:val="right"/>
              <w:rPr>
                <w:b/>
                <w:sz w:val="20"/>
                <w:szCs w:val="20"/>
              </w:rPr>
            </w:pPr>
            <w:r w:rsidRPr="005F3ED3">
              <w:rPr>
                <w:b/>
                <w:sz w:val="20"/>
                <w:szCs w:val="20"/>
              </w:rPr>
              <w:t>59 800,00</w:t>
            </w:r>
          </w:p>
        </w:tc>
      </w:tr>
    </w:tbl>
    <w:p w:rsidR="00DB0D5F" w:rsidRDefault="00DB0D5F" w:rsidP="00DB0D5F">
      <w:pPr>
        <w:jc w:val="left"/>
        <w:rPr>
          <w:rFonts w:ascii="Arial" w:hAnsi="Arial" w:cs="Arial"/>
          <w:b/>
          <w:sz w:val="22"/>
          <w:szCs w:val="22"/>
        </w:rPr>
        <w:sectPr w:rsidR="00DB0D5F" w:rsidSect="004605AE">
          <w:footerReference w:type="even" r:id="rId7"/>
          <w:footerReference w:type="default" r:id="rId8"/>
          <w:type w:val="continuous"/>
          <w:pgSz w:w="11906" w:h="16838"/>
          <w:pgMar w:top="709" w:right="849" w:bottom="902" w:left="993" w:header="709" w:footer="709" w:gutter="0"/>
          <w:cols w:space="708"/>
          <w:docGrid w:linePitch="360"/>
        </w:sectPr>
      </w:pPr>
    </w:p>
    <w:p w:rsidR="00D42528" w:rsidRPr="006F2B05" w:rsidRDefault="00D42528" w:rsidP="006F2B05">
      <w:pPr>
        <w:rPr>
          <w:b/>
        </w:rPr>
      </w:pPr>
      <w:r w:rsidRPr="006F2B05">
        <w:rPr>
          <w:b/>
        </w:rPr>
        <w:lastRenderedPageBreak/>
        <w:t xml:space="preserve">ANNEXE </w:t>
      </w:r>
      <w:r w:rsidR="00F17BE7">
        <w:rPr>
          <w:b/>
        </w:rPr>
        <w:t>2</w:t>
      </w:r>
      <w:r w:rsidRPr="006F2B05">
        <w:rPr>
          <w:b/>
        </w:rPr>
        <w:t> – Données financières</w:t>
      </w:r>
    </w:p>
    <w:p w:rsidR="00D42528" w:rsidRPr="006F2B05" w:rsidRDefault="00D42528" w:rsidP="00D42528">
      <w:pPr>
        <w:jc w:val="center"/>
        <w:rPr>
          <w:b/>
        </w:rPr>
      </w:pPr>
    </w:p>
    <w:p w:rsidR="00D42528" w:rsidRPr="006F2B05" w:rsidRDefault="00D42528" w:rsidP="00D42528">
      <w:pPr>
        <w:jc w:val="center"/>
        <w:rPr>
          <w:b/>
        </w:rPr>
      </w:pPr>
      <w:r w:rsidRPr="006F2B05">
        <w:rPr>
          <w:b/>
        </w:rPr>
        <w:t xml:space="preserve"> Bilan de la société SOFIBO Emballages au 31 décembre 2012</w:t>
      </w:r>
    </w:p>
    <w:p w:rsidR="00D42528" w:rsidRPr="006F2B05" w:rsidRDefault="00D42528" w:rsidP="00D42528">
      <w:pPr>
        <w:jc w:val="center"/>
        <w:rPr>
          <w:b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275"/>
        <w:gridCol w:w="1276"/>
        <w:gridCol w:w="1276"/>
        <w:gridCol w:w="142"/>
        <w:gridCol w:w="1134"/>
        <w:gridCol w:w="3685"/>
        <w:gridCol w:w="1134"/>
        <w:gridCol w:w="1134"/>
      </w:tblGrid>
      <w:tr w:rsidR="00D42528" w:rsidRPr="006F2B05" w:rsidTr="006F2B05">
        <w:trPr>
          <w:trHeight w:val="315"/>
        </w:trPr>
        <w:tc>
          <w:tcPr>
            <w:tcW w:w="82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ACTIF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PASSIF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  <w:rPr>
                <w:b/>
              </w:rPr>
            </w:pPr>
            <w:r w:rsidRPr="006F2B05"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  <w:rPr>
                <w:b/>
              </w:rPr>
            </w:pPr>
            <w:r w:rsidRPr="006F2B05">
              <w:rPr>
                <w:b/>
              </w:rPr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6F2B05" w:rsidP="006F2B05">
            <w:pPr>
              <w:jc w:val="center"/>
              <w:rPr>
                <w:b/>
              </w:rPr>
            </w:pPr>
            <w:r w:rsidRPr="006F2B05">
              <w:rPr>
                <w:b/>
              </w:rPr>
              <w:t>2012</w:t>
            </w:r>
            <w:r w:rsidR="00D42528" w:rsidRPr="006F2B05">
              <w:rPr>
                <w:b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6F2B05" w:rsidP="006F2B05">
            <w:pPr>
              <w:jc w:val="center"/>
              <w:rPr>
                <w:b/>
              </w:rPr>
            </w:pPr>
            <w:r w:rsidRPr="006F2B05">
              <w:rPr>
                <w:b/>
              </w:rPr>
              <w:t>2011</w:t>
            </w:r>
          </w:p>
        </w:tc>
      </w:tr>
      <w:tr w:rsidR="00D42528" w:rsidRPr="006F2B05" w:rsidTr="006F2B05">
        <w:trPr>
          <w:trHeight w:val="510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Brut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jc w:val="center"/>
              <w:rPr>
                <w:sz w:val="18"/>
                <w:szCs w:val="18"/>
              </w:rPr>
            </w:pPr>
            <w:r w:rsidRPr="006F2B05">
              <w:rPr>
                <w:sz w:val="18"/>
                <w:szCs w:val="18"/>
              </w:rPr>
              <w:t xml:space="preserve">Amts. et </w:t>
            </w:r>
            <w:r w:rsidRPr="006F2B05">
              <w:rPr>
                <w:sz w:val="18"/>
                <w:szCs w:val="18"/>
              </w:rPr>
              <w:br/>
              <w:t>dépréciations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Net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 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42528" w:rsidRPr="006F2B05" w:rsidRDefault="00D42528" w:rsidP="00FC1DFE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42528" w:rsidRPr="006F2B05" w:rsidRDefault="00D42528" w:rsidP="00FC1DFE">
            <w:pPr>
              <w:jc w:val="center"/>
            </w:pPr>
          </w:p>
        </w:tc>
      </w:tr>
      <w:tr w:rsidR="00D42528" w:rsidRPr="006F2B05" w:rsidTr="006F2B05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Actif immobilisé 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10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Capitaux propres 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FC1DF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r w:rsidRPr="006F2B05">
              <w:t> 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Immobilisations incorporelles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8 000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6 000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Capital social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250 000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Immobilisations corporelles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875 000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695 000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188 000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Réserve légale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Immobilisations financières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300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Réserves statutaires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251 000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251 000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Résultat de l'exercice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44 000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-69 000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Subvention d'investissement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500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3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890 300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702 000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188 300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194 300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570 100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457 500</w:t>
            </w:r>
          </w:p>
        </w:tc>
      </w:tr>
      <w:tr w:rsidR="00D42528" w:rsidRPr="006F2B05" w:rsidTr="006F2B05">
        <w:trPr>
          <w:trHeight w:val="300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Actif circulant 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Dettes 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Stocks de matières premières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Emprunt et dettes auprès ét. crédit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177 000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200 000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 xml:space="preserve">Stocks de produits finis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Dettes fourn. comptes rattachés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130 000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106 000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 xml:space="preserve">Stocks de marchandises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380 000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380 000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270 000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Dettes fiscales et sociales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94 000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102 000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Clients et comptes rattachés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290 000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30 000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260 000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250 000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75"/>
              <w:jc w:val="left"/>
            </w:pPr>
            <w:r w:rsidRPr="006F2B05">
              <w:t>Autres dettes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Autres créances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500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firstLine="204"/>
              <w:jc w:val="left"/>
            </w:pPr>
            <w:r w:rsidRPr="006F2B05">
              <w:t>Disponibilités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140 000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140 000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150 000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255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</w:pPr>
            <w:r w:rsidRPr="006F2B0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6F2B05">
            <w:pPr>
              <w:jc w:val="left"/>
            </w:pPr>
            <w:r w:rsidRPr="006F2B0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6F2B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</w:pPr>
            <w:r w:rsidRPr="006F2B05">
              <w:t> </w:t>
            </w:r>
          </w:p>
        </w:tc>
      </w:tr>
      <w:tr w:rsidR="00D42528" w:rsidRPr="006F2B05" w:rsidTr="006F2B05">
        <w:trPr>
          <w:trHeight w:val="3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813 200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783 200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671 200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401 400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408 000</w:t>
            </w:r>
          </w:p>
        </w:tc>
      </w:tr>
      <w:tr w:rsidR="00D42528" w:rsidRPr="006F2B05" w:rsidTr="006F2B05">
        <w:trPr>
          <w:trHeight w:val="36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GENERAL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ind w:right="9"/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1 703 500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732 000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971 500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865 500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left"/>
              <w:rPr>
                <w:b/>
                <w:bCs/>
              </w:rPr>
            </w:pPr>
            <w:r w:rsidRPr="006F2B05">
              <w:rPr>
                <w:b/>
                <w:bCs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971 500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jc w:val="right"/>
              <w:rPr>
                <w:b/>
                <w:bCs/>
              </w:rPr>
            </w:pPr>
            <w:r w:rsidRPr="006F2B05">
              <w:rPr>
                <w:b/>
                <w:bCs/>
              </w:rPr>
              <w:t>865 500</w:t>
            </w:r>
          </w:p>
        </w:tc>
      </w:tr>
    </w:tbl>
    <w:p w:rsidR="00D42528" w:rsidRPr="006F2B05" w:rsidRDefault="00D42528" w:rsidP="00D42528">
      <w:pPr>
        <w:ind w:left="426"/>
        <w:rPr>
          <w:b/>
        </w:rPr>
      </w:pPr>
    </w:p>
    <w:p w:rsidR="00D42528" w:rsidRPr="006F2B05" w:rsidRDefault="00D42528" w:rsidP="00D42528">
      <w:pPr>
        <w:jc w:val="center"/>
        <w:rPr>
          <w:b/>
        </w:rPr>
      </w:pPr>
    </w:p>
    <w:p w:rsidR="00D42528" w:rsidRPr="006F2B05" w:rsidRDefault="00D42528" w:rsidP="00D42528">
      <w:pPr>
        <w:jc w:val="center"/>
        <w:rPr>
          <w:b/>
        </w:rPr>
      </w:pPr>
      <w:r w:rsidRPr="006F2B05">
        <w:rPr>
          <w:b/>
        </w:rPr>
        <w:t>Ratios</w:t>
      </w:r>
    </w:p>
    <w:p w:rsidR="00D42528" w:rsidRPr="006F2B05" w:rsidRDefault="00D42528" w:rsidP="00D4252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885"/>
        <w:gridCol w:w="2127"/>
      </w:tblGrid>
      <w:tr w:rsidR="00D42528" w:rsidRPr="006F2B05" w:rsidTr="006F2B05">
        <w:trPr>
          <w:trHeight w:val="466"/>
          <w:jc w:val="center"/>
        </w:trPr>
        <w:tc>
          <w:tcPr>
            <w:tcW w:w="5027" w:type="dxa"/>
            <w:shd w:val="clear" w:color="auto" w:fill="EDEDED" w:themeFill="accent3" w:themeFillTint="33"/>
            <w:vAlign w:val="center"/>
          </w:tcPr>
          <w:p w:rsidR="00D42528" w:rsidRPr="006F2B05" w:rsidRDefault="00D42528" w:rsidP="006F2B05">
            <w:pPr>
              <w:pStyle w:val="Titre6"/>
              <w:spacing w:line="276" w:lineRule="auto"/>
              <w:rPr>
                <w:rFonts w:eastAsia="SimSun"/>
                <w:bCs w:val="0"/>
              </w:rPr>
            </w:pPr>
            <w:r w:rsidRPr="006F2B05">
              <w:rPr>
                <w:rFonts w:eastAsia="SimSun"/>
                <w:bCs w:val="0"/>
              </w:rPr>
              <w:t>Ratios</w:t>
            </w:r>
          </w:p>
        </w:tc>
        <w:tc>
          <w:tcPr>
            <w:tcW w:w="1885" w:type="dxa"/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6F2B05">
              <w:rPr>
                <w:rFonts w:eastAsia="SimSun"/>
                <w:b/>
              </w:rPr>
              <w:t>2012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  <w:b/>
              </w:rPr>
            </w:pPr>
            <w:r w:rsidRPr="006F2B05">
              <w:rPr>
                <w:rFonts w:eastAsia="SimSun"/>
                <w:b/>
              </w:rPr>
              <w:t>2011</w:t>
            </w:r>
          </w:p>
        </w:tc>
      </w:tr>
      <w:tr w:rsidR="00D42528" w:rsidRPr="006F2B05" w:rsidTr="00FC1DFE">
        <w:trPr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rPr>
                <w:rFonts w:eastAsia="SimSun"/>
                <w:b/>
              </w:rPr>
            </w:pPr>
            <w:r w:rsidRPr="006F2B05">
              <w:rPr>
                <w:rFonts w:eastAsia="SimSun"/>
                <w:b/>
              </w:rPr>
              <w:t xml:space="preserve">Indépendance financière </w:t>
            </w:r>
          </w:p>
          <w:p w:rsidR="00D42528" w:rsidRPr="006F2B05" w:rsidRDefault="00D42528" w:rsidP="00FC1DFE">
            <w:pPr>
              <w:spacing w:line="276" w:lineRule="auto"/>
              <w:rPr>
                <w:rFonts w:eastAsia="SimSun"/>
              </w:rPr>
            </w:pPr>
            <w:r w:rsidRPr="006F2B05">
              <w:rPr>
                <w:rFonts w:eastAsia="SimSun"/>
              </w:rPr>
              <w:t>(capitaux propres/ ressources stables)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</w:rPr>
            </w:pPr>
            <w:r w:rsidRPr="006F2B05">
              <w:rPr>
                <w:rFonts w:eastAsia="SimSun"/>
              </w:rPr>
              <w:t xml:space="preserve">76,31 %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</w:rPr>
            </w:pPr>
            <w:r w:rsidRPr="006F2B05">
              <w:rPr>
                <w:rFonts w:eastAsia="SimSun"/>
              </w:rPr>
              <w:t>69,58 %</w:t>
            </w:r>
          </w:p>
        </w:tc>
      </w:tr>
      <w:tr w:rsidR="00D42528" w:rsidRPr="006F2B05" w:rsidTr="00FC1DFE">
        <w:trPr>
          <w:jc w:val="center"/>
        </w:trPr>
        <w:tc>
          <w:tcPr>
            <w:tcW w:w="5027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rPr>
                <w:rFonts w:eastAsia="SimSun"/>
                <w:b/>
              </w:rPr>
            </w:pPr>
            <w:r w:rsidRPr="006F2B05">
              <w:rPr>
                <w:rFonts w:eastAsia="SimSun"/>
                <w:b/>
              </w:rPr>
              <w:t xml:space="preserve">Taux endettement </w:t>
            </w:r>
          </w:p>
          <w:p w:rsidR="00D42528" w:rsidRPr="006F2B05" w:rsidRDefault="00D42528" w:rsidP="00FC1DFE">
            <w:pPr>
              <w:spacing w:line="276" w:lineRule="auto"/>
              <w:rPr>
                <w:rFonts w:eastAsia="SimSun"/>
              </w:rPr>
            </w:pPr>
            <w:r w:rsidRPr="006F2B05">
              <w:rPr>
                <w:rFonts w:eastAsia="SimSun"/>
              </w:rPr>
              <w:t>(emprunts/capitaux propres)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</w:rPr>
            </w:pPr>
            <w:r w:rsidRPr="006F2B05">
              <w:rPr>
                <w:rFonts w:eastAsia="SimSun"/>
              </w:rPr>
              <w:t>31,05 %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2528" w:rsidRPr="006F2B05" w:rsidRDefault="00D42528" w:rsidP="00FC1DFE">
            <w:pPr>
              <w:spacing w:line="276" w:lineRule="auto"/>
              <w:jc w:val="center"/>
              <w:rPr>
                <w:rFonts w:eastAsia="SimSun"/>
              </w:rPr>
            </w:pPr>
            <w:r w:rsidRPr="006F2B05">
              <w:rPr>
                <w:rFonts w:eastAsia="SimSun"/>
              </w:rPr>
              <w:t>43,72 %</w:t>
            </w:r>
          </w:p>
        </w:tc>
      </w:tr>
    </w:tbl>
    <w:p w:rsidR="00D42528" w:rsidRDefault="00D42528" w:rsidP="00D42528">
      <w:pPr>
        <w:jc w:val="center"/>
        <w:rPr>
          <w:rFonts w:ascii="Arial" w:hAnsi="Arial" w:cs="Arial"/>
          <w:b/>
          <w:sz w:val="22"/>
          <w:szCs w:val="22"/>
        </w:rPr>
        <w:sectPr w:rsidR="00D42528" w:rsidSect="00FC1DFE">
          <w:pgSz w:w="16838" w:h="11906" w:orient="landscape"/>
          <w:pgMar w:top="993" w:right="993" w:bottom="849" w:left="902" w:header="709" w:footer="709" w:gutter="0"/>
          <w:cols w:space="708"/>
          <w:docGrid w:linePitch="360"/>
        </w:sectPr>
      </w:pPr>
    </w:p>
    <w:p w:rsidR="00D42528" w:rsidRPr="006F2B05" w:rsidRDefault="00D42528" w:rsidP="006F2B05">
      <w:pPr>
        <w:pStyle w:val="Titre6"/>
        <w:rPr>
          <w:bCs w:val="0"/>
        </w:rPr>
      </w:pPr>
      <w:r w:rsidRPr="006F2B05">
        <w:rPr>
          <w:bCs w:val="0"/>
        </w:rPr>
        <w:lastRenderedPageBreak/>
        <w:t xml:space="preserve">ANNEXE </w:t>
      </w:r>
      <w:r w:rsidR="00F17BE7">
        <w:rPr>
          <w:bCs w:val="0"/>
        </w:rPr>
        <w:t>3</w:t>
      </w:r>
      <w:r w:rsidRPr="006F2B05">
        <w:rPr>
          <w:bCs w:val="0"/>
        </w:rPr>
        <w:t> – Tableau d’amortissement de la machine « gaine textile »</w:t>
      </w:r>
    </w:p>
    <w:p w:rsidR="00D42528" w:rsidRPr="006F2B05" w:rsidRDefault="00D42528" w:rsidP="00D42528">
      <w:pPr>
        <w:jc w:val="center"/>
        <w:rPr>
          <w:b/>
        </w:rPr>
      </w:pPr>
    </w:p>
    <w:tbl>
      <w:tblPr>
        <w:tblW w:w="984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2007"/>
        <w:gridCol w:w="168"/>
        <w:gridCol w:w="2006"/>
        <w:gridCol w:w="170"/>
        <w:gridCol w:w="2175"/>
        <w:gridCol w:w="191"/>
        <w:gridCol w:w="1985"/>
      </w:tblGrid>
      <w:tr w:rsidR="00D42528" w:rsidRPr="006F2B05" w:rsidTr="006F2B05">
        <w:trPr>
          <w:trHeight w:val="20"/>
        </w:trPr>
        <w:tc>
          <w:tcPr>
            <w:tcW w:w="98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spacing w:before="60" w:after="60"/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 xml:space="preserve">TABLEAU D’AMORTISSEMENT </w:t>
            </w:r>
          </w:p>
        </w:tc>
      </w:tr>
      <w:tr w:rsidR="006F2B05" w:rsidRPr="006F2B05" w:rsidTr="00F73471">
        <w:trPr>
          <w:trHeight w:val="20"/>
        </w:trPr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 xml:space="preserve">Bien amortissable : 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Machine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 xml:space="preserve">Mode d’amortissement :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Linéaire</w:t>
            </w:r>
          </w:p>
        </w:tc>
      </w:tr>
      <w:tr w:rsidR="00D42528" w:rsidRPr="006F2B05" w:rsidTr="00F73471">
        <w:trPr>
          <w:trHeight w:val="2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>Coût d'acquisition du bien 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50 000 €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 xml:space="preserve">Date de mise en service :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01/10/2013</w:t>
            </w:r>
          </w:p>
        </w:tc>
      </w:tr>
      <w:tr w:rsidR="00D42528" w:rsidRPr="006F2B05" w:rsidTr="00F73471">
        <w:trPr>
          <w:trHeight w:val="2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 xml:space="preserve">Date d’acquisition : 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19/09/2013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>Taux amortissement 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2528" w:rsidRPr="006F2B05" w:rsidRDefault="00D42528" w:rsidP="006F2B05">
            <w:pPr>
              <w:pStyle w:val="Style17"/>
              <w:spacing w:line="240" w:lineRule="auto"/>
            </w:pPr>
            <w:r w:rsidRPr="006F2B05">
              <w:t>20%</w:t>
            </w:r>
          </w:p>
        </w:tc>
      </w:tr>
      <w:tr w:rsidR="00D42528" w:rsidRPr="006F2B05" w:rsidTr="00F73471">
        <w:trPr>
          <w:trHeight w:val="20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>Nombre d'année d'utilisation 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5 ans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r w:rsidRPr="006F2B05">
              <w:t> </w:t>
            </w:r>
          </w:p>
        </w:tc>
      </w:tr>
      <w:tr w:rsidR="00F73471" w:rsidRPr="006F2B05" w:rsidTr="00F73471">
        <w:trPr>
          <w:trHeight w:val="784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6F2B05">
              <w:rPr>
                <w:b/>
                <w:bCs/>
                <w:i/>
                <w:iCs/>
              </w:rPr>
              <w:t>Exercices</w:t>
            </w:r>
          </w:p>
        </w:tc>
        <w:tc>
          <w:tcPr>
            <w:tcW w:w="2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6F2B05">
              <w:rPr>
                <w:b/>
                <w:bCs/>
                <w:i/>
                <w:iCs/>
              </w:rPr>
              <w:t>Base d’amortissement</w:t>
            </w:r>
          </w:p>
        </w:tc>
        <w:tc>
          <w:tcPr>
            <w:tcW w:w="21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6F2B05">
              <w:rPr>
                <w:b/>
                <w:bCs/>
                <w:i/>
                <w:iCs/>
              </w:rPr>
              <w:t>Amortissement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6F2B05">
              <w:rPr>
                <w:b/>
                <w:bCs/>
                <w:i/>
                <w:iCs/>
              </w:rPr>
              <w:t>Amortissements cumulés</w:t>
            </w:r>
          </w:p>
        </w:tc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  <w:rPr>
                <w:b/>
                <w:bCs/>
                <w:i/>
                <w:iCs/>
              </w:rPr>
            </w:pPr>
            <w:r w:rsidRPr="006F2B05">
              <w:rPr>
                <w:b/>
                <w:bCs/>
                <w:i/>
                <w:iCs/>
              </w:rPr>
              <w:t xml:space="preserve">Valeur nette </w:t>
            </w:r>
            <w:r w:rsidRPr="006F2B05">
              <w:rPr>
                <w:b/>
                <w:bCs/>
                <w:i/>
                <w:iCs/>
              </w:rPr>
              <w:br/>
              <w:t>comptable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bookmarkStart w:id="1" w:name="RANGE!C8:C13"/>
            <w:r w:rsidRPr="006F2B05">
              <w:t>2 500,00 €</w:t>
            </w:r>
            <w:bookmarkEnd w:id="1"/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bookmarkStart w:id="2" w:name="RANGE!D8:D13"/>
            <w:r w:rsidRPr="006F2B05">
              <w:t>2 500,00 €</w:t>
            </w:r>
          </w:p>
        </w:tc>
        <w:bookmarkEnd w:id="2"/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47 500,00 € 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>10 000,00 €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r w:rsidRPr="006F2B05">
              <w:t>12 500,00 €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37 500,00 € 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>10 000,00 €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r w:rsidRPr="006F2B05">
              <w:t>22 500,00 €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27 500,00 € 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>10 000,00 €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r w:rsidRPr="006F2B05">
              <w:t>32 500,00 €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17 500,00 € 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>10 000,00 €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r w:rsidRPr="006F2B05">
              <w:t>42 500,00 €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  7 500,00 € </w:t>
            </w:r>
          </w:p>
        </w:tc>
      </w:tr>
      <w:tr w:rsidR="00F73471" w:rsidRPr="006F2B05" w:rsidTr="00F73471">
        <w:trPr>
          <w:trHeight w:val="2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FC1DFE">
            <w:pPr>
              <w:spacing w:before="40" w:after="40"/>
              <w:jc w:val="center"/>
            </w:pPr>
            <w:r w:rsidRPr="006F2B05">
              <w:t>2018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 xml:space="preserve">        50 000,00 €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t>7 500,00 €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  <w:r w:rsidRPr="006F2B05">
              <w:t>50 000,00 €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  <w:r w:rsidRPr="006F2B05">
              <w:t xml:space="preserve">              -   € </w:t>
            </w:r>
          </w:p>
        </w:tc>
      </w:tr>
      <w:tr w:rsidR="00F73471" w:rsidRPr="006F2B05" w:rsidTr="00F73471">
        <w:trPr>
          <w:trHeight w:val="20"/>
        </w:trPr>
        <w:tc>
          <w:tcPr>
            <w:tcW w:w="33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rPr>
                <w:b/>
                <w:bCs/>
              </w:rPr>
              <w:t>TOTAL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6F2B05">
            <w:pPr>
              <w:spacing w:before="40" w:after="40"/>
              <w:ind w:right="293"/>
              <w:jc w:val="right"/>
            </w:pPr>
            <w:r w:rsidRPr="006F2B05">
              <w:rPr>
                <w:b/>
                <w:bCs/>
              </w:rPr>
              <w:t>50 000,00 €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6F2B05">
            <w:pPr>
              <w:spacing w:before="40" w:after="40"/>
              <w:ind w:right="151" w:firstLineChars="200" w:firstLine="400"/>
              <w:jc w:val="right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F73471" w:rsidRPr="006F2B05" w:rsidRDefault="00F73471" w:rsidP="006F2B05">
            <w:pPr>
              <w:spacing w:before="40" w:after="40"/>
              <w:ind w:right="151"/>
              <w:jc w:val="right"/>
            </w:pPr>
          </w:p>
        </w:tc>
      </w:tr>
    </w:tbl>
    <w:p w:rsidR="00D42528" w:rsidRPr="006F2B05" w:rsidRDefault="00D42528" w:rsidP="00D42528">
      <w:pPr>
        <w:jc w:val="center"/>
        <w:rPr>
          <w:b/>
        </w:rPr>
      </w:pPr>
    </w:p>
    <w:p w:rsidR="00D42528" w:rsidRPr="006F2B05" w:rsidRDefault="00D42528" w:rsidP="00D42528">
      <w:pPr>
        <w:spacing w:before="240"/>
        <w:jc w:val="center"/>
        <w:rPr>
          <w:b/>
        </w:rPr>
      </w:pPr>
      <w:r w:rsidRPr="006F2B05">
        <w:rPr>
          <w:b/>
        </w:rPr>
        <w:t xml:space="preserve">ANNEXE </w:t>
      </w:r>
      <w:r w:rsidR="00F17BE7">
        <w:rPr>
          <w:b/>
        </w:rPr>
        <w:t>4</w:t>
      </w:r>
      <w:r w:rsidRPr="006F2B05">
        <w:rPr>
          <w:b/>
        </w:rPr>
        <w:t xml:space="preserve"> – Extrait de l’annexe de la société SOFIBO Emballages au 31 décembre 2012</w:t>
      </w:r>
    </w:p>
    <w:p w:rsidR="00D42528" w:rsidRPr="006F2B05" w:rsidRDefault="00D42528" w:rsidP="00D42528">
      <w:pPr>
        <w:spacing w:after="60"/>
        <w:jc w:val="center"/>
        <w:rPr>
          <w:b/>
          <w:noProof/>
        </w:rPr>
      </w:pPr>
    </w:p>
    <w:tbl>
      <w:tblPr>
        <w:tblW w:w="1022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1843"/>
        <w:gridCol w:w="1701"/>
        <w:gridCol w:w="1559"/>
        <w:gridCol w:w="1701"/>
      </w:tblGrid>
      <w:tr w:rsidR="00D42528" w:rsidRPr="006F2B05" w:rsidTr="00FC1DFE">
        <w:trPr>
          <w:trHeight w:val="25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pPr>
              <w:spacing w:after="40"/>
              <w:rPr>
                <w:b/>
              </w:rPr>
            </w:pPr>
            <w:r w:rsidRPr="006F2B05">
              <w:rPr>
                <w:b/>
              </w:rPr>
              <w:t>Extrait du tableau des immobilisations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528" w:rsidRPr="006F2B05" w:rsidRDefault="00D42528" w:rsidP="00FC1DFE">
            <w:pPr>
              <w:rPr>
                <w:b/>
              </w:rPr>
            </w:pP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r w:rsidRPr="006F2B05">
              <w:t>Situations et mouvements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bottom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D</w:t>
            </w:r>
          </w:p>
        </w:tc>
      </w:tr>
      <w:tr w:rsidR="00D42528" w:rsidRPr="006F2B05" w:rsidTr="00FC1DFE">
        <w:trPr>
          <w:trHeight w:val="20"/>
        </w:trPr>
        <w:tc>
          <w:tcPr>
            <w:tcW w:w="3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r w:rsidRPr="006F2B05">
              <w:t>Rubriques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Valeurs brutes à l’ouverture de l’exercice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Augmentations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Diminutions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Valeur brute à la clôture de l’exercice</w:t>
            </w: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[…]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Installations techniques, matériel et outillage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335 000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60 000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50 000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345 000</w:t>
            </w: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Autres immobilisations corporelles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133 000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15 000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14 000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134 000</w:t>
            </w: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[…]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</w:p>
        </w:tc>
      </w:tr>
      <w:tr w:rsidR="00D42528" w:rsidRPr="006F2B05" w:rsidTr="004605AE">
        <w:trPr>
          <w:trHeight w:val="2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  <w:rPr>
                <w:b/>
              </w:rPr>
            </w:pPr>
            <w:r w:rsidRPr="006F2B05">
              <w:rPr>
                <w:b/>
              </w:rPr>
              <w:t> TOTAUX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879 300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75 000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64 000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890 300</w:t>
            </w:r>
          </w:p>
        </w:tc>
      </w:tr>
      <w:tr w:rsidR="00D42528" w:rsidRPr="006F2B05" w:rsidTr="00FC1DFE">
        <w:trPr>
          <w:trHeight w:val="225"/>
        </w:trPr>
        <w:tc>
          <w:tcPr>
            <w:tcW w:w="3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2528" w:rsidRPr="006F2B05" w:rsidRDefault="00D42528" w:rsidP="00FC1DFE"/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2528" w:rsidRPr="006F2B05" w:rsidRDefault="00D42528" w:rsidP="00FC1DFE"/>
        </w:tc>
      </w:tr>
      <w:tr w:rsidR="00D42528" w:rsidRPr="006F2B05" w:rsidTr="00FC1DFE">
        <w:trPr>
          <w:trHeight w:val="225"/>
        </w:trPr>
        <w:tc>
          <w:tcPr>
            <w:tcW w:w="3419" w:type="dxa"/>
            <w:shd w:val="clear" w:color="auto" w:fill="auto"/>
            <w:vAlign w:val="bottom"/>
          </w:tcPr>
          <w:p w:rsidR="00D42528" w:rsidRPr="006F2B05" w:rsidRDefault="00D42528" w:rsidP="00FC1DFE">
            <w:pPr>
              <w:spacing w:after="40"/>
              <w:rPr>
                <w:b/>
              </w:rPr>
            </w:pPr>
            <w:r w:rsidRPr="006F2B05">
              <w:rPr>
                <w:b/>
              </w:rPr>
              <w:t>Tableau des amortissements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2528" w:rsidRPr="006F2B05" w:rsidRDefault="00D42528" w:rsidP="00FC1DFE"/>
        </w:tc>
        <w:tc>
          <w:tcPr>
            <w:tcW w:w="1701" w:type="dxa"/>
            <w:shd w:val="clear" w:color="auto" w:fill="auto"/>
            <w:noWrap/>
            <w:vAlign w:val="bottom"/>
          </w:tcPr>
          <w:p w:rsidR="00D42528" w:rsidRPr="006F2B05" w:rsidRDefault="00D42528" w:rsidP="00FC1DFE"/>
        </w:tc>
        <w:tc>
          <w:tcPr>
            <w:tcW w:w="1559" w:type="dxa"/>
            <w:shd w:val="clear" w:color="auto" w:fill="auto"/>
            <w:noWrap/>
            <w:vAlign w:val="bottom"/>
          </w:tcPr>
          <w:p w:rsidR="00D42528" w:rsidRPr="006F2B05" w:rsidRDefault="00D42528" w:rsidP="00FC1DFE"/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D42528" w:rsidRPr="006F2B05" w:rsidRDefault="00D42528" w:rsidP="00FC1DFE"/>
        </w:tc>
      </w:tr>
      <w:tr w:rsidR="00D42528" w:rsidRPr="006F2B05" w:rsidTr="004605AE">
        <w:trPr>
          <w:trHeight w:val="332"/>
        </w:trPr>
        <w:tc>
          <w:tcPr>
            <w:tcW w:w="341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</w:tcPr>
          <w:p w:rsidR="00D42528" w:rsidRPr="006F2B05" w:rsidRDefault="00D42528" w:rsidP="00FC1DFE">
            <w:r w:rsidRPr="006F2B05">
              <w:t>Situations et mouvements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C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D42528" w:rsidRPr="006F2B05" w:rsidRDefault="00D42528" w:rsidP="00FC1DFE">
            <w:pPr>
              <w:jc w:val="center"/>
              <w:rPr>
                <w:b/>
                <w:bCs/>
              </w:rPr>
            </w:pPr>
            <w:r w:rsidRPr="006F2B05">
              <w:rPr>
                <w:b/>
                <w:bCs/>
              </w:rPr>
              <w:t>D</w:t>
            </w:r>
          </w:p>
        </w:tc>
      </w:tr>
      <w:tr w:rsidR="00D42528" w:rsidRPr="006F2B05" w:rsidTr="004605AE">
        <w:trPr>
          <w:trHeight w:val="9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Rubriques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Amortissements cumulés au début de l’exercice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 xml:space="preserve">Augmentations : dotations de l’exercice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 xml:space="preserve">Diminutions : d’amortissement de l’exercice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28" w:rsidRPr="006F2B05" w:rsidRDefault="00D42528" w:rsidP="00FC1DFE">
            <w:pPr>
              <w:jc w:val="center"/>
            </w:pPr>
            <w:r w:rsidRPr="006F2B05">
              <w:t>Amortissements cumulés à la fin de l’exercice</w:t>
            </w:r>
          </w:p>
        </w:tc>
      </w:tr>
      <w:tr w:rsidR="00D42528" w:rsidRPr="006F2B05" w:rsidTr="004605AE">
        <w:trPr>
          <w:trHeight w:val="30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[…]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</w:pPr>
          </w:p>
        </w:tc>
      </w:tr>
      <w:tr w:rsidR="00D42528" w:rsidRPr="006F2B05" w:rsidTr="004605AE">
        <w:trPr>
          <w:trHeight w:val="30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Installations techniques, matériel et outillage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334 000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51 000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345 000</w:t>
            </w:r>
          </w:p>
        </w:tc>
      </w:tr>
      <w:tr w:rsidR="00D42528" w:rsidRPr="006F2B05" w:rsidTr="004605AE">
        <w:trPr>
          <w:trHeight w:val="30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jc w:val="left"/>
            </w:pPr>
            <w:r w:rsidRPr="006F2B05">
              <w:t>Autres immobilisations corporelles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89 000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10 000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</w:pPr>
            <w:r w:rsidRPr="006F2B05">
              <w:t>84 000</w:t>
            </w:r>
          </w:p>
        </w:tc>
      </w:tr>
      <w:tr w:rsidR="00D42528" w:rsidRPr="006F2B05" w:rsidTr="004605AE">
        <w:trPr>
          <w:trHeight w:val="300"/>
        </w:trPr>
        <w:tc>
          <w:tcPr>
            <w:tcW w:w="341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42528" w:rsidRPr="006F2B05" w:rsidRDefault="00D42528" w:rsidP="00FC1DFE">
            <w:pPr>
              <w:jc w:val="right"/>
              <w:rPr>
                <w:b/>
              </w:rPr>
            </w:pPr>
            <w:r w:rsidRPr="006F2B05">
              <w:rPr>
                <w:b/>
              </w:rPr>
              <w:t>TOTAUX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708 000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2528" w:rsidRPr="006F2B05" w:rsidRDefault="00D42528" w:rsidP="004605AE">
            <w:pPr>
              <w:ind w:right="283"/>
              <w:jc w:val="right"/>
              <w:rPr>
                <w:b/>
              </w:rPr>
            </w:pPr>
            <w:r w:rsidRPr="006F2B05">
              <w:rPr>
                <w:b/>
              </w:rPr>
              <w:t>702 000</w:t>
            </w:r>
          </w:p>
        </w:tc>
      </w:tr>
    </w:tbl>
    <w:p w:rsidR="00D42528" w:rsidRPr="006F2B05" w:rsidRDefault="00D42528" w:rsidP="00D42528">
      <w:pPr>
        <w:pStyle w:val="Textedebulles"/>
        <w:spacing w:after="60" w:line="276" w:lineRule="auto"/>
        <w:ind w:left="720"/>
        <w:rPr>
          <w:b/>
          <w:sz w:val="20"/>
          <w:szCs w:val="20"/>
        </w:rPr>
      </w:pPr>
    </w:p>
    <w:p w:rsidR="005F530D" w:rsidRDefault="005F530D">
      <w:pPr>
        <w:widowControl/>
        <w:autoSpaceDE/>
        <w:autoSpaceDN/>
        <w:adjustRightInd/>
        <w:jc w:val="left"/>
      </w:pPr>
    </w:p>
    <w:sectPr w:rsidR="005F530D" w:rsidSect="00180E3D">
      <w:footerReference w:type="default" r:id="rId9"/>
      <w:type w:val="continuous"/>
      <w:pgSz w:w="11906" w:h="16838"/>
      <w:pgMar w:top="568" w:right="849" w:bottom="902" w:left="993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C7" w:rsidRDefault="00AA28C7" w:rsidP="001B4DD9">
      <w:r>
        <w:separator/>
      </w:r>
    </w:p>
    <w:p w:rsidR="00AA28C7" w:rsidRDefault="00AA28C7" w:rsidP="001B4DD9"/>
  </w:endnote>
  <w:endnote w:type="continuationSeparator" w:id="0">
    <w:p w:rsidR="00AA28C7" w:rsidRDefault="00AA28C7" w:rsidP="001B4DD9">
      <w:r>
        <w:continuationSeparator/>
      </w:r>
    </w:p>
    <w:p w:rsidR="00AA28C7" w:rsidRDefault="00AA28C7" w:rsidP="001B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7A" w:rsidRDefault="000C63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637A" w:rsidRDefault="000C63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7A" w:rsidRPr="00121FFA" w:rsidRDefault="000C637A" w:rsidP="000C637A">
    <w:pPr>
      <w:pStyle w:val="Pieddepage"/>
      <w:jc w:val="right"/>
    </w:pPr>
    <w:r>
      <w:rPr>
        <w:rStyle w:val="Numrodepage"/>
        <w:b/>
        <w:sz w:val="22"/>
        <w:szCs w:val="22"/>
      </w:rPr>
      <w:tab/>
    </w:r>
    <w:r>
      <w:rPr>
        <w:rStyle w:val="Numrodepage"/>
        <w:b/>
        <w:sz w:val="22"/>
        <w:szCs w:val="22"/>
      </w:rPr>
      <w:tab/>
    </w:r>
    <w:r>
      <w:rPr>
        <w:rStyle w:val="Numrodepage"/>
        <w:b/>
        <w:sz w:val="22"/>
        <w:szCs w:val="22"/>
      </w:rPr>
      <w:tab/>
    </w:r>
    <w:r>
      <w:rPr>
        <w:rStyle w:val="Numrodepage"/>
        <w:b/>
        <w:sz w:val="22"/>
        <w:szCs w:val="22"/>
      </w:rPr>
      <w:tab/>
    </w:r>
    <w:r>
      <w:rPr>
        <w:rStyle w:val="Numrodepage"/>
        <w:b/>
        <w:sz w:val="22"/>
        <w:szCs w:val="22"/>
      </w:rPr>
      <w:tab/>
    </w: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AF1DA2">
      <w:rPr>
        <w:noProof/>
      </w:rPr>
      <w:t>1</w:t>
    </w:r>
    <w:r w:rsidRPr="00121FFA">
      <w:fldChar w:fldCharType="end"/>
    </w:r>
    <w:r w:rsidRPr="00121FFA">
      <w:t xml:space="preserve"> / </w:t>
    </w:r>
    <w:fldSimple w:instr=" NUMPAGES   \* MERGEFORMAT ">
      <w:r w:rsidR="00AF1DA2">
        <w:rPr>
          <w:noProof/>
        </w:rPr>
        <w:t>4</w:t>
      </w:r>
    </w:fldSimple>
  </w:p>
  <w:p w:rsidR="000C637A" w:rsidRPr="007F22CD" w:rsidRDefault="000C637A" w:rsidP="00FC1DFE">
    <w:pPr>
      <w:pStyle w:val="Pieddepage"/>
      <w:tabs>
        <w:tab w:val="right" w:pos="9545"/>
      </w:tabs>
      <w:ind w:right="360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7A" w:rsidRPr="00121FFA" w:rsidRDefault="000C637A" w:rsidP="004605AE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F17BE7">
      <w:rPr>
        <w:noProof/>
      </w:rPr>
      <w:t>4</w:t>
    </w:r>
    <w:r w:rsidRPr="00121FFA">
      <w:fldChar w:fldCharType="end"/>
    </w:r>
    <w:r w:rsidRPr="00121FFA">
      <w:t xml:space="preserve"> / </w:t>
    </w:r>
    <w:fldSimple w:instr=" NUMPAGES   \* MERGEFORMAT ">
      <w:r w:rsidR="00F17BE7">
        <w:rPr>
          <w:noProof/>
        </w:rPr>
        <w:t>4</w:t>
      </w:r>
    </w:fldSimple>
  </w:p>
  <w:p w:rsidR="000C637A" w:rsidRDefault="000C637A" w:rsidP="001B4D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C7" w:rsidRDefault="00AA28C7" w:rsidP="001B4DD9">
      <w:r>
        <w:separator/>
      </w:r>
    </w:p>
    <w:p w:rsidR="00AA28C7" w:rsidRDefault="00AA28C7" w:rsidP="001B4DD9"/>
  </w:footnote>
  <w:footnote w:type="continuationSeparator" w:id="0">
    <w:p w:rsidR="00AA28C7" w:rsidRDefault="00AA28C7" w:rsidP="001B4DD9">
      <w:r>
        <w:continuationSeparator/>
      </w:r>
    </w:p>
    <w:p w:rsidR="00AA28C7" w:rsidRDefault="00AA28C7" w:rsidP="001B4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icdn.pro/images/fr/n/o/noir-trombone-icone-7412-96.png" style="width:96pt;height:96pt;flip:x;visibility:visible;mso-wrap-style:square" o:bullet="t">
        <v:imagedata r:id="rId1" o:title="noir-trombone-icone-7412-96"/>
      </v:shape>
    </w:pict>
  </w:numPicBullet>
  <w:abstractNum w:abstractNumId="0">
    <w:nsid w:val="0BDA65BA"/>
    <w:multiLevelType w:val="hybridMultilevel"/>
    <w:tmpl w:val="A448CC28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733"/>
    <w:multiLevelType w:val="hybridMultilevel"/>
    <w:tmpl w:val="7FE84EF6"/>
    <w:lvl w:ilvl="0" w:tplc="BE08B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1F09"/>
    <w:multiLevelType w:val="hybridMultilevel"/>
    <w:tmpl w:val="470A9B6A"/>
    <w:lvl w:ilvl="0" w:tplc="1ED8CBE2">
      <w:start w:val="1"/>
      <w:numFmt w:val="upperLetter"/>
      <w:lvlText w:val="%1."/>
      <w:lvlJc w:val="left"/>
      <w:pPr>
        <w:ind w:left="52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970" w:hanging="360"/>
      </w:pPr>
    </w:lvl>
    <w:lvl w:ilvl="2" w:tplc="040C001B" w:tentative="1">
      <w:start w:val="1"/>
      <w:numFmt w:val="lowerRoman"/>
      <w:lvlText w:val="%3."/>
      <w:lvlJc w:val="right"/>
      <w:pPr>
        <w:ind w:left="6690" w:hanging="180"/>
      </w:pPr>
    </w:lvl>
    <w:lvl w:ilvl="3" w:tplc="040C000F" w:tentative="1">
      <w:start w:val="1"/>
      <w:numFmt w:val="decimal"/>
      <w:lvlText w:val="%4."/>
      <w:lvlJc w:val="left"/>
      <w:pPr>
        <w:ind w:left="7410" w:hanging="360"/>
      </w:pPr>
    </w:lvl>
    <w:lvl w:ilvl="4" w:tplc="040C0019" w:tentative="1">
      <w:start w:val="1"/>
      <w:numFmt w:val="lowerLetter"/>
      <w:lvlText w:val="%5."/>
      <w:lvlJc w:val="left"/>
      <w:pPr>
        <w:ind w:left="8130" w:hanging="360"/>
      </w:pPr>
    </w:lvl>
    <w:lvl w:ilvl="5" w:tplc="040C001B" w:tentative="1">
      <w:start w:val="1"/>
      <w:numFmt w:val="lowerRoman"/>
      <w:lvlText w:val="%6."/>
      <w:lvlJc w:val="right"/>
      <w:pPr>
        <w:ind w:left="8850" w:hanging="180"/>
      </w:pPr>
    </w:lvl>
    <w:lvl w:ilvl="6" w:tplc="040C000F" w:tentative="1">
      <w:start w:val="1"/>
      <w:numFmt w:val="decimal"/>
      <w:lvlText w:val="%7."/>
      <w:lvlJc w:val="left"/>
      <w:pPr>
        <w:ind w:left="9570" w:hanging="360"/>
      </w:pPr>
    </w:lvl>
    <w:lvl w:ilvl="7" w:tplc="040C0019" w:tentative="1">
      <w:start w:val="1"/>
      <w:numFmt w:val="lowerLetter"/>
      <w:lvlText w:val="%8."/>
      <w:lvlJc w:val="left"/>
      <w:pPr>
        <w:ind w:left="10290" w:hanging="360"/>
      </w:pPr>
    </w:lvl>
    <w:lvl w:ilvl="8" w:tplc="040C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3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2BC6"/>
    <w:multiLevelType w:val="hybridMultilevel"/>
    <w:tmpl w:val="C9E4B068"/>
    <w:lvl w:ilvl="0" w:tplc="2BE67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CD0D46"/>
    <w:multiLevelType w:val="hybridMultilevel"/>
    <w:tmpl w:val="024A391A"/>
    <w:lvl w:ilvl="0" w:tplc="0F1E53C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631D7"/>
    <w:rsid w:val="00071C85"/>
    <w:rsid w:val="00081A32"/>
    <w:rsid w:val="000A1D08"/>
    <w:rsid w:val="000C637A"/>
    <w:rsid w:val="00105429"/>
    <w:rsid w:val="00110715"/>
    <w:rsid w:val="001616B9"/>
    <w:rsid w:val="00166CD4"/>
    <w:rsid w:val="00180E3D"/>
    <w:rsid w:val="001A26F7"/>
    <w:rsid w:val="001A3F16"/>
    <w:rsid w:val="001B4DD9"/>
    <w:rsid w:val="001D5115"/>
    <w:rsid w:val="001D70BC"/>
    <w:rsid w:val="00212CE2"/>
    <w:rsid w:val="0022018A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A07C8"/>
    <w:rsid w:val="003B78BA"/>
    <w:rsid w:val="003C0638"/>
    <w:rsid w:val="003C3EBD"/>
    <w:rsid w:val="003D7D26"/>
    <w:rsid w:val="003E1AA6"/>
    <w:rsid w:val="00401EE5"/>
    <w:rsid w:val="00405396"/>
    <w:rsid w:val="00413A15"/>
    <w:rsid w:val="0041586B"/>
    <w:rsid w:val="004173F4"/>
    <w:rsid w:val="00440B69"/>
    <w:rsid w:val="00446BB9"/>
    <w:rsid w:val="004605AE"/>
    <w:rsid w:val="00483841"/>
    <w:rsid w:val="00490378"/>
    <w:rsid w:val="004A0101"/>
    <w:rsid w:val="004C0B76"/>
    <w:rsid w:val="004C7EA7"/>
    <w:rsid w:val="004E65EF"/>
    <w:rsid w:val="00503788"/>
    <w:rsid w:val="00527239"/>
    <w:rsid w:val="00531296"/>
    <w:rsid w:val="005445E0"/>
    <w:rsid w:val="00553E31"/>
    <w:rsid w:val="005776C9"/>
    <w:rsid w:val="00580BE9"/>
    <w:rsid w:val="005B07B5"/>
    <w:rsid w:val="005C3C46"/>
    <w:rsid w:val="005C577B"/>
    <w:rsid w:val="005D06D0"/>
    <w:rsid w:val="005D50AB"/>
    <w:rsid w:val="005E2958"/>
    <w:rsid w:val="005F3ED3"/>
    <w:rsid w:val="005F530D"/>
    <w:rsid w:val="005F761C"/>
    <w:rsid w:val="00603291"/>
    <w:rsid w:val="006050D0"/>
    <w:rsid w:val="00614E2A"/>
    <w:rsid w:val="006263A8"/>
    <w:rsid w:val="00627187"/>
    <w:rsid w:val="00640935"/>
    <w:rsid w:val="00646DA8"/>
    <w:rsid w:val="00660CCE"/>
    <w:rsid w:val="006733B7"/>
    <w:rsid w:val="00682663"/>
    <w:rsid w:val="00685A24"/>
    <w:rsid w:val="00686D04"/>
    <w:rsid w:val="006B06CE"/>
    <w:rsid w:val="006C0F5D"/>
    <w:rsid w:val="006C60ED"/>
    <w:rsid w:val="006C7FFD"/>
    <w:rsid w:val="006E6638"/>
    <w:rsid w:val="006F2B05"/>
    <w:rsid w:val="00705061"/>
    <w:rsid w:val="007246A9"/>
    <w:rsid w:val="007416B9"/>
    <w:rsid w:val="00764CCF"/>
    <w:rsid w:val="00772860"/>
    <w:rsid w:val="00794B62"/>
    <w:rsid w:val="007B1E48"/>
    <w:rsid w:val="007D3442"/>
    <w:rsid w:val="007E0F25"/>
    <w:rsid w:val="007E11D1"/>
    <w:rsid w:val="007F758A"/>
    <w:rsid w:val="00807896"/>
    <w:rsid w:val="0081257D"/>
    <w:rsid w:val="00820734"/>
    <w:rsid w:val="008214CA"/>
    <w:rsid w:val="008252C4"/>
    <w:rsid w:val="00837858"/>
    <w:rsid w:val="008720DB"/>
    <w:rsid w:val="008807FC"/>
    <w:rsid w:val="00886927"/>
    <w:rsid w:val="008D7D58"/>
    <w:rsid w:val="008E5399"/>
    <w:rsid w:val="008E5A32"/>
    <w:rsid w:val="008F1F7E"/>
    <w:rsid w:val="00912099"/>
    <w:rsid w:val="009237C1"/>
    <w:rsid w:val="00923B1F"/>
    <w:rsid w:val="00941FC4"/>
    <w:rsid w:val="009434E0"/>
    <w:rsid w:val="009478A5"/>
    <w:rsid w:val="0095703A"/>
    <w:rsid w:val="00962EF2"/>
    <w:rsid w:val="00964026"/>
    <w:rsid w:val="0097219C"/>
    <w:rsid w:val="009809B9"/>
    <w:rsid w:val="00981931"/>
    <w:rsid w:val="009A0BD2"/>
    <w:rsid w:val="009A43D7"/>
    <w:rsid w:val="009C1E2F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31C17"/>
    <w:rsid w:val="00A435BA"/>
    <w:rsid w:val="00A47B99"/>
    <w:rsid w:val="00A865B4"/>
    <w:rsid w:val="00AA28C7"/>
    <w:rsid w:val="00AD0442"/>
    <w:rsid w:val="00AE028B"/>
    <w:rsid w:val="00AE0B82"/>
    <w:rsid w:val="00AF1DA2"/>
    <w:rsid w:val="00AF48DE"/>
    <w:rsid w:val="00AF6F7B"/>
    <w:rsid w:val="00B219D3"/>
    <w:rsid w:val="00B30C45"/>
    <w:rsid w:val="00B378E3"/>
    <w:rsid w:val="00B431ED"/>
    <w:rsid w:val="00B44F8D"/>
    <w:rsid w:val="00B726AD"/>
    <w:rsid w:val="00BA48FA"/>
    <w:rsid w:val="00BB6727"/>
    <w:rsid w:val="00BC5AAD"/>
    <w:rsid w:val="00C00674"/>
    <w:rsid w:val="00C15D62"/>
    <w:rsid w:val="00C41C2F"/>
    <w:rsid w:val="00C46385"/>
    <w:rsid w:val="00C50855"/>
    <w:rsid w:val="00C601FC"/>
    <w:rsid w:val="00C63216"/>
    <w:rsid w:val="00C93696"/>
    <w:rsid w:val="00C93E49"/>
    <w:rsid w:val="00CB056E"/>
    <w:rsid w:val="00CC2640"/>
    <w:rsid w:val="00CE4448"/>
    <w:rsid w:val="00CE5E20"/>
    <w:rsid w:val="00CE6529"/>
    <w:rsid w:val="00CF4609"/>
    <w:rsid w:val="00CF6119"/>
    <w:rsid w:val="00D01394"/>
    <w:rsid w:val="00D110F3"/>
    <w:rsid w:val="00D14ADA"/>
    <w:rsid w:val="00D16C9C"/>
    <w:rsid w:val="00D36A37"/>
    <w:rsid w:val="00D40729"/>
    <w:rsid w:val="00D42528"/>
    <w:rsid w:val="00D52B43"/>
    <w:rsid w:val="00D55159"/>
    <w:rsid w:val="00D60DBE"/>
    <w:rsid w:val="00D7778E"/>
    <w:rsid w:val="00DA61B5"/>
    <w:rsid w:val="00DB0D5F"/>
    <w:rsid w:val="00DB40C0"/>
    <w:rsid w:val="00DB548A"/>
    <w:rsid w:val="00DD5C00"/>
    <w:rsid w:val="00DD645E"/>
    <w:rsid w:val="00DE46D4"/>
    <w:rsid w:val="00DF6C4D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B4A88"/>
    <w:rsid w:val="00EB56EC"/>
    <w:rsid w:val="00EB6ACE"/>
    <w:rsid w:val="00F17BE7"/>
    <w:rsid w:val="00F3119E"/>
    <w:rsid w:val="00F32473"/>
    <w:rsid w:val="00F346C0"/>
    <w:rsid w:val="00F434A9"/>
    <w:rsid w:val="00F55FDD"/>
    <w:rsid w:val="00F613AA"/>
    <w:rsid w:val="00F73471"/>
    <w:rsid w:val="00F75320"/>
    <w:rsid w:val="00F82194"/>
    <w:rsid w:val="00FA2BB8"/>
    <w:rsid w:val="00FC1DFE"/>
    <w:rsid w:val="00FC1F64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D9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autoRedefine/>
    <w:uiPriority w:val="99"/>
    <w:rsid w:val="00A435BA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left"/>
    </w:pPr>
    <w:rPr>
      <w:sz w:val="18"/>
      <w:szCs w:val="18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b/>
      <w:sz w:val="22"/>
      <w:szCs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qFormat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styleId="Corpsdetexte2">
    <w:name w:val="Body Text 2"/>
    <w:basedOn w:val="Normal"/>
    <w:link w:val="Corpsdetexte2Car"/>
    <w:uiPriority w:val="99"/>
    <w:unhideWhenUsed/>
    <w:rsid w:val="00CB056E"/>
  </w:style>
  <w:style w:type="character" w:customStyle="1" w:styleId="Corpsdetexte2Car">
    <w:name w:val="Corps de texte 2 Car"/>
    <w:basedOn w:val="Policepardfaut"/>
    <w:link w:val="Corpsdetexte2"/>
    <w:uiPriority w:val="99"/>
    <w:rsid w:val="00CB056E"/>
    <w:rPr>
      <w:rFonts w:ascii="Tahoma" w:eastAsia="Times New Roman" w:hAnsi="Tahoma" w:cs="Tahoma"/>
      <w:color w:val="00000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D42528"/>
    <w:pPr>
      <w:widowControl/>
      <w:autoSpaceDE/>
      <w:autoSpaceDN/>
      <w:adjustRightInd/>
      <w:ind w:left="66"/>
      <w:jc w:val="center"/>
    </w:pPr>
    <w:rPr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42528"/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269</TotalTime>
  <Pages>4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5699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Joëlle Cornette -www. stmg.education</cp:lastModifiedBy>
  <cp:revision>5</cp:revision>
  <dcterms:created xsi:type="dcterms:W3CDTF">2015-04-28T14:30:00Z</dcterms:created>
  <dcterms:modified xsi:type="dcterms:W3CDTF">2015-04-28T18:59:00Z</dcterms:modified>
</cp:coreProperties>
</file>