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84238C">
        <w:rPr>
          <w:rFonts w:ascii="Tahoma" w:hAnsi="Tahoma" w:cs="Tahoma"/>
          <w:b/>
          <w:sz w:val="30"/>
          <w:szCs w:val="30"/>
        </w:rPr>
        <w:t>9</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E8016F">
        <w:rPr>
          <w:rFonts w:ascii="Tahoma" w:hAnsi="Tahoma" w:cs="Tahoma"/>
          <w:b/>
          <w:sz w:val="30"/>
          <w:szCs w:val="30"/>
        </w:rPr>
        <w:t>Polynésie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1D7F" w:rsidRDefault="00F61588" w:rsidP="009D1D7F">
      <w:pPr>
        <w:rPr>
          <w:b/>
          <w:bCs/>
        </w:rPr>
      </w:pPr>
      <w:r w:rsidRPr="009D1D7F">
        <w:rPr>
          <w:b/>
          <w:bCs/>
        </w:rPr>
        <w:t xml:space="preserve">À </w:t>
      </w:r>
      <w:r w:rsidR="009D2F18" w:rsidRPr="009D1D7F">
        <w:rPr>
          <w:b/>
          <w:bCs/>
        </w:rPr>
        <w:t>partir</w:t>
      </w:r>
      <w:r w:rsidRPr="009D1D7F">
        <w:rPr>
          <w:b/>
          <w:bCs/>
        </w:rPr>
        <w:t xml:space="preserve"> de vos connaissances et </w:t>
      </w:r>
      <w:r w:rsidR="009D2F18" w:rsidRPr="009D1D7F">
        <w:rPr>
          <w:b/>
          <w:bCs/>
        </w:rPr>
        <w:t>de la documentation fournie en annexe :</w:t>
      </w:r>
      <w:bookmarkStart w:id="0" w:name="_GoBack"/>
      <w:bookmarkEnd w:id="0"/>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E8016F" w:rsidRPr="00E8016F" w:rsidRDefault="00E8016F" w:rsidP="00E8016F">
      <w:pPr>
        <w:pStyle w:val="Questions"/>
        <w:rPr>
          <w:sz w:val="20"/>
          <w:szCs w:val="20"/>
        </w:rPr>
      </w:pPr>
      <w:r w:rsidRPr="00E8016F">
        <w:rPr>
          <w:sz w:val="20"/>
          <w:szCs w:val="20"/>
        </w:rPr>
        <w:t>Comparez la part des cotisations sociales dans le coût du travail en France avec celle des autres pays de l’OCDE.</w:t>
      </w:r>
    </w:p>
    <w:p w:rsidR="00E8016F" w:rsidRPr="00E8016F" w:rsidRDefault="00E8016F" w:rsidP="00E8016F">
      <w:pPr>
        <w:pStyle w:val="Questions"/>
        <w:rPr>
          <w:sz w:val="20"/>
          <w:szCs w:val="20"/>
        </w:rPr>
      </w:pPr>
      <w:r w:rsidRPr="00E8016F">
        <w:rPr>
          <w:sz w:val="20"/>
          <w:szCs w:val="20"/>
        </w:rPr>
        <w:t>Décrivez l’effet de la redistribution sur les revenus disponibles des 10% des ménages les plus pauvres.</w:t>
      </w:r>
    </w:p>
    <w:p w:rsidR="00DD644A" w:rsidRPr="003747FE" w:rsidRDefault="00E8016F" w:rsidP="00E8016F">
      <w:pPr>
        <w:pStyle w:val="Questions"/>
        <w:rPr>
          <w:sz w:val="20"/>
          <w:szCs w:val="20"/>
        </w:rPr>
      </w:pPr>
      <w:r w:rsidRPr="00E8016F">
        <w:rPr>
          <w:sz w:val="20"/>
          <w:szCs w:val="20"/>
        </w:rPr>
        <w:t>Présentez les avantages et les inconvénients de la distribution de prestations sociales</w:t>
      </w:r>
      <w:r w:rsidR="00FA7831" w:rsidRPr="00FA7831">
        <w:rPr>
          <w:sz w:val="20"/>
          <w:szCs w:val="20"/>
        </w:rPr>
        <w:t>.</w:t>
      </w:r>
    </w:p>
    <w:p w:rsidR="00DC4CD8" w:rsidRPr="000B5AF2" w:rsidRDefault="0075737E" w:rsidP="00DD644A">
      <w:pPr>
        <w:pStyle w:val="Questions"/>
        <w:rPr>
          <w:sz w:val="20"/>
          <w:szCs w:val="20"/>
        </w:rPr>
      </w:pPr>
      <w:r w:rsidRPr="000B5AF2">
        <w:rPr>
          <w:sz w:val="20"/>
          <w:szCs w:val="20"/>
        </w:rPr>
        <w:t>Rédigez une argumentation qui permette de répondre à la question suivante :</w:t>
      </w:r>
    </w:p>
    <w:p w:rsidR="009D2F18" w:rsidRDefault="00E8016F" w:rsidP="00845186">
      <w:pPr>
        <w:jc w:val="center"/>
      </w:pPr>
      <w:r w:rsidRPr="00E8016F">
        <w:rPr>
          <w:b/>
        </w:rPr>
        <w:t>La politique sociale constitue-t-elle un frein à l’emploi</w:t>
      </w:r>
      <w:r>
        <w:rPr>
          <w:b/>
        </w:rPr>
        <w:t xml:space="preserve">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EC4477" w:rsidRDefault="009D2F18" w:rsidP="009D2F18">
      <w:pPr>
        <w:rPr>
          <w:rFonts w:cs="Tahoma"/>
          <w:b/>
        </w:rPr>
      </w:pPr>
    </w:p>
    <w:p w:rsidR="009D2F18" w:rsidRPr="00EC4477" w:rsidRDefault="009D2F18" w:rsidP="009D2F18">
      <w:pPr>
        <w:rPr>
          <w:rFonts w:cs="Tahoma"/>
        </w:rPr>
      </w:pPr>
    </w:p>
    <w:p w:rsidR="00E8016F" w:rsidRPr="00EC4477" w:rsidRDefault="00B119E4" w:rsidP="00E8016F">
      <w:pPr>
        <w:ind w:left="567" w:hanging="283"/>
        <w:rPr>
          <w:rFonts w:cs="Tahoma"/>
        </w:rPr>
      </w:pPr>
      <w:r w:rsidRPr="00EC4477">
        <w:rPr>
          <w:rFonts w:cs="Tahoma"/>
        </w:rPr>
        <w:t>•</w:t>
      </w:r>
      <w:r w:rsidRPr="00EC4477">
        <w:rPr>
          <w:rFonts w:cs="Tahoma"/>
        </w:rPr>
        <w:tab/>
      </w:r>
      <w:r w:rsidR="00E8016F" w:rsidRPr="00EC4477">
        <w:rPr>
          <w:rFonts w:cs="Tahoma"/>
        </w:rPr>
        <w:t>Annexe 1</w:t>
      </w:r>
      <w:r w:rsidR="00E8016F" w:rsidRPr="00EC4477">
        <w:rPr>
          <w:rFonts w:cs="Tahoma"/>
        </w:rPr>
        <w:t xml:space="preserve"> </w:t>
      </w:r>
      <w:r w:rsidR="00E8016F" w:rsidRPr="00EC4477">
        <w:rPr>
          <w:rFonts w:cs="Tahoma"/>
        </w:rPr>
        <w:t>: L’allocation chômage permet d’améliorer l’adéquation de l’offre et de la demande sur le marché du travail.</w:t>
      </w:r>
    </w:p>
    <w:p w:rsidR="00E8016F" w:rsidRPr="00EC4477" w:rsidRDefault="00E8016F" w:rsidP="00E8016F">
      <w:pPr>
        <w:pStyle w:val="Paragraphedeliste"/>
        <w:numPr>
          <w:ilvl w:val="0"/>
          <w:numId w:val="45"/>
        </w:numPr>
        <w:ind w:left="567" w:hanging="283"/>
        <w:rPr>
          <w:rFonts w:cs="Tahoma"/>
        </w:rPr>
      </w:pPr>
      <w:r w:rsidRPr="00EC4477">
        <w:rPr>
          <w:rFonts w:cs="Tahoma"/>
        </w:rPr>
        <w:t>Annexe 2 : La politique sociale à l’école permet une meilleure formation initiale des élèves et une meilleure insertion professionnelle.</w:t>
      </w:r>
    </w:p>
    <w:p w:rsidR="00E8016F" w:rsidRPr="00EC4477" w:rsidRDefault="00E8016F" w:rsidP="00E8016F">
      <w:pPr>
        <w:pStyle w:val="Paragraphedeliste"/>
        <w:numPr>
          <w:ilvl w:val="0"/>
          <w:numId w:val="45"/>
        </w:numPr>
        <w:ind w:left="567" w:hanging="283"/>
        <w:rPr>
          <w:rFonts w:cs="Tahoma"/>
        </w:rPr>
      </w:pPr>
      <w:r w:rsidRPr="00EC4477">
        <w:rPr>
          <w:rFonts w:cs="Tahoma"/>
        </w:rPr>
        <w:t>Annexe 3 : La flexibilisation du marché du travail au Danemark.</w:t>
      </w:r>
    </w:p>
    <w:p w:rsidR="00E8016F" w:rsidRPr="00EC4477" w:rsidRDefault="00E8016F" w:rsidP="00E8016F">
      <w:pPr>
        <w:pStyle w:val="Paragraphedeliste"/>
        <w:numPr>
          <w:ilvl w:val="0"/>
          <w:numId w:val="45"/>
        </w:numPr>
        <w:ind w:left="567" w:hanging="283"/>
        <w:rPr>
          <w:rFonts w:cs="Tahoma"/>
        </w:rPr>
      </w:pPr>
      <w:r w:rsidRPr="00EC4477">
        <w:rPr>
          <w:rFonts w:cs="Tahoma"/>
        </w:rPr>
        <w:t>Annexe 4</w:t>
      </w:r>
      <w:r w:rsidRPr="00EC4477">
        <w:rPr>
          <w:rFonts w:cs="Tahoma"/>
        </w:rPr>
        <w:t xml:space="preserve"> </w:t>
      </w:r>
      <w:r w:rsidRPr="00EC4477">
        <w:rPr>
          <w:rFonts w:cs="Tahoma"/>
        </w:rPr>
        <w:t>: Le poids des cotisations sociales sur le salaire dans les pays de l’OCDE (en % du coût du travail).</w:t>
      </w:r>
    </w:p>
    <w:p w:rsidR="00056590" w:rsidRPr="00EC4477" w:rsidRDefault="00E8016F" w:rsidP="00E8016F">
      <w:pPr>
        <w:pStyle w:val="Paragraphedeliste"/>
        <w:numPr>
          <w:ilvl w:val="0"/>
          <w:numId w:val="45"/>
        </w:numPr>
        <w:ind w:left="567" w:hanging="283"/>
        <w:rPr>
          <w:rFonts w:cs="Tahoma"/>
        </w:rPr>
      </w:pPr>
      <w:r w:rsidRPr="00EC4477">
        <w:rPr>
          <w:rFonts w:cs="Tahoma"/>
        </w:rPr>
        <w:t>Annexe 5 : Effets des mécanismes de redistribution sur les revenus disponibles mensuels pour les plus riches et les plus pauvre</w:t>
      </w:r>
      <w:r w:rsidRPr="00EC4477">
        <w:rPr>
          <w:rFonts w:cs="Tahoma"/>
        </w:rPr>
        <w:t>s</w:t>
      </w:r>
      <w:r w:rsidR="008F41B3" w:rsidRPr="00EC4477">
        <w:rPr>
          <w:rFonts w:cs="Tahoma"/>
        </w:rPr>
        <w:t>.</w:t>
      </w:r>
    </w:p>
    <w:p w:rsidR="009D2F18" w:rsidRPr="00EC4477" w:rsidRDefault="009D2F18" w:rsidP="00E8016F">
      <w:pPr>
        <w:ind w:firstLine="60"/>
        <w:rPr>
          <w:rFonts w:cs="Tahoma"/>
        </w:rPr>
      </w:pPr>
    </w:p>
    <w:p w:rsidR="00E8016F" w:rsidRPr="00EC4477" w:rsidRDefault="00E8016F" w:rsidP="00E8016F">
      <w:pPr>
        <w:ind w:firstLine="60"/>
        <w:rPr>
          <w:rFonts w:cs="Tahoma"/>
        </w:rPr>
      </w:pPr>
    </w:p>
    <w:p w:rsidR="00E8016F" w:rsidRPr="00EC4477" w:rsidRDefault="00E8016F" w:rsidP="00E8016F">
      <w:pPr>
        <w:ind w:firstLine="60"/>
        <w:rPr>
          <w:rFonts w:cs="Tahoma"/>
        </w:rPr>
      </w:pPr>
    </w:p>
    <w:p w:rsidR="00F1128D" w:rsidRPr="00EC4477" w:rsidRDefault="00F1128D" w:rsidP="00F1128D">
      <w:pPr>
        <w:pBdr>
          <w:top w:val="single" w:sz="4" w:space="1" w:color="auto"/>
          <w:left w:val="single" w:sz="4" w:space="4" w:color="auto"/>
          <w:bottom w:val="single" w:sz="4" w:space="1" w:color="auto"/>
          <w:right w:val="single" w:sz="4" w:space="4" w:color="auto"/>
        </w:pBdr>
        <w:shd w:val="clear" w:color="auto" w:fill="FFFFFF"/>
        <w:jc w:val="center"/>
        <w:rPr>
          <w:rFonts w:cs="Tahoma"/>
          <w:b/>
          <w:color w:val="000000"/>
          <w:sz w:val="28"/>
        </w:rPr>
      </w:pPr>
      <w:r w:rsidRPr="00EC4477">
        <w:rPr>
          <w:rFonts w:cs="Tahoma"/>
          <w:b/>
          <w:color w:val="000000"/>
          <w:sz w:val="28"/>
        </w:rPr>
        <w:lastRenderedPageBreak/>
        <w:t>ANNEXES</w:t>
      </w:r>
    </w:p>
    <w:p w:rsidR="00763B2C" w:rsidRPr="00EC4477" w:rsidRDefault="00763B2C" w:rsidP="00763B2C">
      <w:pPr>
        <w:rPr>
          <w:rFonts w:cs="Tahoma"/>
        </w:rPr>
      </w:pPr>
      <w:r w:rsidRPr="00EC4477">
        <w:rPr>
          <w:rFonts w:cs="Tahoma"/>
          <w:b/>
          <w:u w:val="single"/>
        </w:rPr>
        <w:t>Annexe 1</w:t>
      </w:r>
      <w:r w:rsidRPr="00EC4477">
        <w:rPr>
          <w:rFonts w:cs="Tahoma"/>
          <w:b/>
        </w:rPr>
        <w:t xml:space="preserve"> : </w:t>
      </w:r>
      <w:r w:rsidR="00E8016F" w:rsidRPr="00EC4477">
        <w:rPr>
          <w:rFonts w:cs="Tahoma"/>
          <w:b/>
        </w:rPr>
        <w:t>L’allocation chômage permet d’améliorer l’adéquation de l’offre et de la demande sur le marché du travail</w:t>
      </w:r>
      <w:r w:rsidRPr="00EC4477">
        <w:rPr>
          <w:rFonts w:cs="Tahoma"/>
        </w:rPr>
        <w:t xml:space="preserve">. </w:t>
      </w:r>
    </w:p>
    <w:p w:rsidR="00E8016F" w:rsidRPr="00EC4477" w:rsidRDefault="00E8016F" w:rsidP="00E8016F">
      <w:pPr>
        <w:rPr>
          <w:rFonts w:cs="Tahoma"/>
        </w:rPr>
      </w:pPr>
      <w:r w:rsidRPr="00EC4477">
        <w:rPr>
          <w:rFonts w:cs="Tahoma"/>
        </w:rPr>
        <w:t xml:space="preserve">En France, </w:t>
      </w:r>
      <w:r w:rsidRPr="009D1D7F">
        <w:t>la mise en place de [l’assurance chômage</w:t>
      </w:r>
      <w:r w:rsidRPr="00EC4477">
        <w:rPr>
          <w:rFonts w:cs="Tahoma"/>
        </w:rPr>
        <w:t>] en 1959 avait pour objectif explicite non seulement d’assurer les chômeurs contre les fluctuations de leurs revenus, mais aussi de financer leur recherche d’emploi, afin de faciliter la création d’emplois de bonne qualité : « Il ne s’agit pas seulement de servir des allocations de chômage, si importantes soient-elles, mais de se pencher en commun sur les problèmes posés par l’évolution de l’emploi : orientation, formation, placement, reclassement ». Dans cette perspective, le système d’allocation chômage remplit un double objectif : il joue un rôle d’assurance et il améliore le fonctionnement  du marché du travail […] Il existe des raisons de penser que des allocations chômage généreuses peuvent améliorer, dans certaines circonstances, l’efficacité de la recherche d’emploi [car] la plupart des démarches de prospection d’emploi [frais de déplacement, frais de formation] mobilisent un coût monétaire. L’assurance chômage se révèle essentielle pour financer la recherche d’individus qui tomberaient dans des trappes à pauvreté. […] En somme, l’effort de recherche d’emploi ne diminue pas nécessairement lorsque l’allocation chômage augmente.</w:t>
      </w:r>
    </w:p>
    <w:p w:rsidR="00E8016F" w:rsidRPr="00A17ECC" w:rsidRDefault="00E8016F" w:rsidP="00E8016F">
      <w:pPr>
        <w:jc w:val="right"/>
        <w:rPr>
          <w:rFonts w:cs="Tahoma"/>
          <w:b/>
          <w:i/>
          <w:iCs/>
        </w:rPr>
      </w:pPr>
      <w:r w:rsidRPr="00A17ECC">
        <w:rPr>
          <w:rFonts w:cs="Tahoma"/>
          <w:b/>
          <w:i/>
          <w:iCs/>
        </w:rPr>
        <w:t>Source : Yann Algan et al., Revue d’économie politique, 2006.</w:t>
      </w:r>
    </w:p>
    <w:p w:rsidR="00E8016F" w:rsidRPr="00EC4477" w:rsidRDefault="00E8016F" w:rsidP="00E8016F">
      <w:pPr>
        <w:jc w:val="left"/>
        <w:rPr>
          <w:rFonts w:cs="Tahoma"/>
          <w:b/>
        </w:rPr>
      </w:pPr>
    </w:p>
    <w:p w:rsidR="00E8016F" w:rsidRPr="00EC4477" w:rsidRDefault="00E8016F" w:rsidP="00E8016F">
      <w:pPr>
        <w:jc w:val="left"/>
        <w:rPr>
          <w:rFonts w:cs="Tahoma"/>
          <w:b/>
        </w:rPr>
      </w:pPr>
      <w:r w:rsidRPr="00EC4477">
        <w:rPr>
          <w:rFonts w:cs="Tahoma"/>
          <w:b/>
        </w:rPr>
        <w:t>Annexe 2 : La politique sociale à l’école permet une meilleure formation initiale des élèves et une meilleure insertion professionnelle.</w:t>
      </w:r>
    </w:p>
    <w:p w:rsidR="00E8016F" w:rsidRPr="00EC4477" w:rsidRDefault="00E8016F" w:rsidP="00E8016F">
      <w:pPr>
        <w:rPr>
          <w:rFonts w:cs="Tahoma"/>
          <w:bCs/>
        </w:rPr>
      </w:pPr>
      <w:r w:rsidRPr="00EC4477">
        <w:rPr>
          <w:rFonts w:cs="Tahoma"/>
          <w:bCs/>
        </w:rPr>
        <w:t>L'école a fait de la lutte contre les inégalités sociales et territoriales une priorité […] Notre volonté de réussite pour tous les élèves impose d'aider les familles en situation de précarité économique. Après une revalorisation des bourses de  lycées de 10 % à la rentrée 2016, les bourses accordées aux collégiens d'origine modeste sont revalorisées de 25 % à la rentrée scolaire 2017 pour tous les échelons. […] Les réseaux « Formation Qualification Emploi » (</w:t>
      </w:r>
      <w:proofErr w:type="spellStart"/>
      <w:r w:rsidRPr="00EC4477">
        <w:rPr>
          <w:rFonts w:cs="Tahoma"/>
          <w:bCs/>
        </w:rPr>
        <w:t>Foquale</w:t>
      </w:r>
      <w:proofErr w:type="spellEnd"/>
      <w:r w:rsidRPr="00EC4477">
        <w:rPr>
          <w:rFonts w:cs="Tahoma"/>
          <w:bCs/>
        </w:rPr>
        <w:t>) de l'éducation nationale renforcent l'offre de formation (service civique alterné, clause sociale de formation, structures de retour à l'école, etc.) proposée aux jeunes en situation de décrochage. […] Prévention et remédiation reposent sur des partenariats  nécessaires avec les régions et le monde professionnel, qu'il s'agisse de prendre en charge les jeunes sortis sans diplôme ou d'agir sur l'offre de formation.</w:t>
      </w:r>
    </w:p>
    <w:p w:rsidR="00E8016F" w:rsidRPr="00A17ECC" w:rsidRDefault="00E8016F" w:rsidP="00E8016F">
      <w:pPr>
        <w:jc w:val="right"/>
        <w:rPr>
          <w:rFonts w:cs="Tahoma"/>
          <w:b/>
          <w:i/>
          <w:iCs/>
        </w:rPr>
      </w:pPr>
      <w:r w:rsidRPr="00A17ECC">
        <w:rPr>
          <w:rFonts w:cs="Tahoma"/>
          <w:b/>
          <w:i/>
          <w:iCs/>
        </w:rPr>
        <w:t>Source : education.gouv.fr, mars 2017.</w:t>
      </w:r>
    </w:p>
    <w:p w:rsidR="00E8016F" w:rsidRPr="00EC4477" w:rsidRDefault="00E8016F" w:rsidP="00E8016F">
      <w:pPr>
        <w:jc w:val="left"/>
        <w:rPr>
          <w:rFonts w:cs="Tahoma"/>
          <w:b/>
        </w:rPr>
      </w:pPr>
    </w:p>
    <w:p w:rsidR="00E8016F" w:rsidRPr="00EC4477" w:rsidRDefault="00E8016F" w:rsidP="00E8016F">
      <w:pPr>
        <w:jc w:val="left"/>
        <w:rPr>
          <w:rFonts w:cs="Tahoma"/>
          <w:b/>
        </w:rPr>
      </w:pPr>
      <w:r w:rsidRPr="00EC4477">
        <w:rPr>
          <w:rFonts w:cs="Tahoma"/>
          <w:b/>
        </w:rPr>
        <w:t>Annexe 3 : La flexibilisation du marché du travail au Danemark.</w:t>
      </w:r>
    </w:p>
    <w:p w:rsidR="00E8016F" w:rsidRPr="00EC4477" w:rsidRDefault="00E8016F" w:rsidP="00E8016F">
      <w:pPr>
        <w:rPr>
          <w:rFonts w:cs="Tahoma"/>
        </w:rPr>
      </w:pPr>
      <w:r w:rsidRPr="00EC4477">
        <w:rPr>
          <w:rFonts w:cs="Tahoma"/>
        </w:rPr>
        <w:t>« Concilier flexibilité et sécurité par la sécurisation des trajectoires professionnelles est devenu un thème à la mode dans le débat social français au milieu des années 2000 […] Le Danemark va alors faire figure de référence […] pour promouvoir le</w:t>
      </w:r>
    </w:p>
    <w:p w:rsidR="00E8016F" w:rsidRPr="00EC4477" w:rsidRDefault="00E8016F" w:rsidP="00E8016F">
      <w:pPr>
        <w:rPr>
          <w:rFonts w:cs="Tahoma"/>
        </w:rPr>
      </w:pPr>
      <w:r w:rsidRPr="00EC4477">
        <w:rPr>
          <w:rFonts w:cs="Tahoma"/>
        </w:rPr>
        <w:t>« triangle d’or de la flexicurité » mis en œuvre dans ce pays. Cette [flexicurité] repose sur trois piliers qui font système : une faible protection de l’emploi (celle-ci renvoyant à toutes les règles encadrant l’embauche et les licenciements), une indemnisation du chômage très généreuse (contrepartie de la précédente), et une politique de l’emploi très active (recourant à des instruments très divers, des subventions en faveur de l’emploi aux dispositifs de formation, et destinée à éviter une station trop longue au chômage). La réussite de ce modèle est attestée au début des années 2000 par un taux de chômage très faible (de l’ordre de 5 %) et un sentiment de sécurité très élevé, malgré une mobilité par le chômage elle aussi particulièrement élevée.</w:t>
      </w:r>
    </w:p>
    <w:p w:rsidR="00E8016F" w:rsidRPr="00A17ECC" w:rsidRDefault="00E8016F" w:rsidP="00EC4477">
      <w:pPr>
        <w:jc w:val="right"/>
        <w:rPr>
          <w:rFonts w:cs="Tahoma"/>
          <w:b/>
          <w:i/>
          <w:iCs/>
        </w:rPr>
      </w:pPr>
      <w:r w:rsidRPr="00A17ECC">
        <w:rPr>
          <w:rFonts w:cs="Tahoma"/>
          <w:b/>
          <w:i/>
          <w:iCs/>
        </w:rPr>
        <w:t>Source : La documentation française, 2006.</w:t>
      </w:r>
    </w:p>
    <w:p w:rsidR="00E8016F" w:rsidRPr="00E8016F" w:rsidRDefault="00E8016F" w:rsidP="00E8016F">
      <w:pPr>
        <w:jc w:val="left"/>
        <w:rPr>
          <w:b/>
        </w:rPr>
      </w:pPr>
    </w:p>
    <w:p w:rsidR="00E8016F" w:rsidRPr="00E8016F" w:rsidRDefault="00B052A2" w:rsidP="00E8016F">
      <w:pPr>
        <w:jc w:val="left"/>
        <w:rPr>
          <w:b/>
        </w:rPr>
      </w:pPr>
      <w:r w:rsidRPr="00E8016F">
        <w:rPr>
          <w:b/>
        </w:rPr>
        <w:t xml:space="preserve"> </w:t>
      </w:r>
      <w:r w:rsidR="00E8016F" w:rsidRPr="00E8016F">
        <w:rPr>
          <w:b/>
        </w:rPr>
        <w:t>Annexe 4 : Le poids des cotisations sociales sur le salaire dans les pays de l’OCDE (en % du coût du travail).</w:t>
      </w:r>
    </w:p>
    <w:tbl>
      <w:tblPr>
        <w:tblStyle w:val="TableNormal"/>
        <w:tblpPr w:leftFromText="141" w:rightFromText="141" w:vertAnchor="text" w:horzAnchor="margin" w:tblpXSpec="center"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2363"/>
        <w:gridCol w:w="2363"/>
        <w:gridCol w:w="2363"/>
      </w:tblGrid>
      <w:tr w:rsidR="00A17ECC" w:rsidTr="00A17ECC">
        <w:trPr>
          <w:trHeight w:val="820"/>
        </w:trPr>
        <w:tc>
          <w:tcPr>
            <w:tcW w:w="1696" w:type="dxa"/>
            <w:tcBorders>
              <w:top w:val="single" w:sz="4" w:space="0" w:color="000000"/>
              <w:left w:val="single" w:sz="4" w:space="0" w:color="000000"/>
              <w:bottom w:val="single" w:sz="4" w:space="0" w:color="000000"/>
              <w:right w:val="single" w:sz="4" w:space="0" w:color="000000"/>
            </w:tcBorders>
          </w:tcPr>
          <w:p w:rsidR="00A17ECC" w:rsidRPr="00A17ECC" w:rsidRDefault="00A17ECC" w:rsidP="00A17ECC">
            <w:pPr>
              <w:pStyle w:val="TableParagraph"/>
              <w:rPr>
                <w:rFonts w:ascii="Tahoma" w:hAnsi="Tahoma" w:cs="Tahoma"/>
                <w:sz w:val="20"/>
                <w:szCs w:val="20"/>
                <w:lang w:val="fr-FR"/>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A17ECC" w:rsidRPr="00A17ECC" w:rsidRDefault="00A17ECC" w:rsidP="00A17ECC">
            <w:pPr>
              <w:pStyle w:val="TableParagraph"/>
              <w:spacing w:line="270" w:lineRule="exact"/>
              <w:ind w:left="67" w:right="96"/>
              <w:jc w:val="center"/>
              <w:rPr>
                <w:rFonts w:ascii="Tahoma" w:hAnsi="Tahoma" w:cs="Tahoma"/>
                <w:b/>
                <w:sz w:val="20"/>
                <w:szCs w:val="20"/>
                <w:lang w:val="fr-FR"/>
              </w:rPr>
            </w:pPr>
            <w:r w:rsidRPr="00A17ECC">
              <w:rPr>
                <w:rFonts w:ascii="Tahoma" w:hAnsi="Tahoma" w:cs="Tahoma"/>
                <w:b/>
                <w:sz w:val="20"/>
                <w:szCs w:val="20"/>
                <w:lang w:val="fr-FR"/>
              </w:rPr>
              <w:t>Cotisations</w:t>
            </w:r>
            <w:r w:rsidRPr="00A17ECC">
              <w:rPr>
                <w:rFonts w:ascii="Tahoma" w:hAnsi="Tahoma" w:cs="Tahoma"/>
                <w:b/>
                <w:sz w:val="20"/>
                <w:szCs w:val="20"/>
                <w:lang w:val="fr-FR"/>
              </w:rPr>
              <w:br/>
              <w:t>salariales</w:t>
            </w:r>
          </w:p>
        </w:tc>
        <w:tc>
          <w:tcPr>
            <w:tcW w:w="2363" w:type="dxa"/>
            <w:tcBorders>
              <w:top w:val="single" w:sz="4" w:space="0" w:color="000000"/>
              <w:left w:val="single" w:sz="4" w:space="0" w:color="000000"/>
              <w:bottom w:val="single" w:sz="4" w:space="0" w:color="000000"/>
              <w:right w:val="single" w:sz="4" w:space="0" w:color="000000"/>
            </w:tcBorders>
            <w:vAlign w:val="center"/>
          </w:tcPr>
          <w:p w:rsidR="00A17ECC" w:rsidRPr="00A17ECC" w:rsidRDefault="00A17ECC" w:rsidP="00A17ECC">
            <w:pPr>
              <w:pStyle w:val="TableParagraph"/>
              <w:spacing w:line="270" w:lineRule="exact"/>
              <w:ind w:left="64" w:right="41"/>
              <w:jc w:val="center"/>
              <w:rPr>
                <w:rFonts w:ascii="Tahoma" w:hAnsi="Tahoma" w:cs="Tahoma"/>
                <w:b/>
                <w:sz w:val="20"/>
                <w:szCs w:val="20"/>
                <w:lang w:val="fr-FR"/>
              </w:rPr>
            </w:pPr>
            <w:r w:rsidRPr="00A17ECC">
              <w:rPr>
                <w:rFonts w:ascii="Tahoma" w:hAnsi="Tahoma" w:cs="Tahoma"/>
                <w:b/>
                <w:sz w:val="20"/>
                <w:szCs w:val="20"/>
                <w:lang w:val="fr-FR"/>
              </w:rPr>
              <w:t>Cotisations</w:t>
            </w:r>
            <w:r w:rsidRPr="00A17ECC">
              <w:rPr>
                <w:rFonts w:ascii="Tahoma" w:hAnsi="Tahoma" w:cs="Tahoma"/>
                <w:b/>
                <w:sz w:val="20"/>
                <w:szCs w:val="20"/>
                <w:lang w:val="fr-FR"/>
              </w:rPr>
              <w:br/>
              <w:t>patronales</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A17ECC" w:rsidRPr="00A17ECC" w:rsidRDefault="00A17ECC" w:rsidP="00A17ECC">
            <w:pPr>
              <w:pStyle w:val="TableParagraph"/>
              <w:tabs>
                <w:tab w:val="left" w:pos="1518"/>
              </w:tabs>
              <w:spacing w:before="2" w:line="276" w:lineRule="exact"/>
              <w:ind w:right="2" w:firstLine="4"/>
              <w:jc w:val="center"/>
              <w:rPr>
                <w:rFonts w:ascii="Tahoma" w:hAnsi="Tahoma" w:cs="Tahoma"/>
                <w:b/>
                <w:sz w:val="20"/>
                <w:szCs w:val="20"/>
                <w:lang w:val="fr-FR"/>
              </w:rPr>
            </w:pPr>
            <w:r w:rsidRPr="00A17ECC">
              <w:rPr>
                <w:rFonts w:ascii="Tahoma" w:hAnsi="Tahoma" w:cs="Tahoma"/>
                <w:b/>
                <w:sz w:val="20"/>
                <w:szCs w:val="20"/>
                <w:lang w:val="fr-FR"/>
              </w:rPr>
              <w:t>Total des cotisations sociales dans le coût du travail</w:t>
            </w:r>
          </w:p>
        </w:tc>
      </w:tr>
      <w:tr w:rsidR="00A17ECC" w:rsidTr="00A17ECC">
        <w:trPr>
          <w:trHeight w:val="26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5" w:lineRule="exact"/>
              <w:ind w:left="66"/>
              <w:rPr>
                <w:rFonts w:ascii="Tahoma" w:hAnsi="Tahoma" w:cs="Tahoma"/>
                <w:b/>
                <w:sz w:val="20"/>
                <w:szCs w:val="20"/>
                <w:lang w:val="fr-FR"/>
              </w:rPr>
            </w:pPr>
            <w:r w:rsidRPr="00A17ECC">
              <w:rPr>
                <w:rFonts w:ascii="Tahoma" w:hAnsi="Tahoma" w:cs="Tahoma"/>
                <w:b/>
                <w:sz w:val="20"/>
                <w:szCs w:val="20"/>
                <w:lang w:val="fr-FR"/>
              </w:rPr>
              <w:t>Allemagne</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5" w:lineRule="exact"/>
              <w:ind w:right="946"/>
              <w:jc w:val="right"/>
              <w:rPr>
                <w:rFonts w:ascii="Tahoma" w:hAnsi="Tahoma" w:cs="Tahoma"/>
                <w:sz w:val="20"/>
                <w:szCs w:val="20"/>
                <w:lang w:val="fr-FR"/>
              </w:rPr>
            </w:pPr>
            <w:r w:rsidRPr="00A17ECC">
              <w:rPr>
                <w:rFonts w:ascii="Tahoma" w:hAnsi="Tahoma" w:cs="Tahoma"/>
                <w:sz w:val="20"/>
                <w:szCs w:val="20"/>
                <w:lang w:val="fr-FR"/>
              </w:rPr>
              <w:t>17,10%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5" w:lineRule="exact"/>
              <w:ind w:left="46" w:right="946"/>
              <w:jc w:val="right"/>
              <w:rPr>
                <w:rFonts w:ascii="Tahoma" w:hAnsi="Tahoma" w:cs="Tahoma"/>
                <w:sz w:val="20"/>
                <w:szCs w:val="20"/>
                <w:lang w:val="fr-FR"/>
              </w:rPr>
            </w:pPr>
            <w:r w:rsidRPr="00A17ECC">
              <w:rPr>
                <w:rFonts w:ascii="Tahoma" w:hAnsi="Tahoma" w:cs="Tahoma"/>
                <w:sz w:val="20"/>
                <w:szCs w:val="20"/>
                <w:lang w:val="fr-FR"/>
              </w:rPr>
              <w:t>16,20%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5" w:lineRule="exact"/>
              <w:ind w:right="946"/>
              <w:jc w:val="right"/>
              <w:rPr>
                <w:rFonts w:ascii="Tahoma" w:hAnsi="Tahoma" w:cs="Tahoma"/>
                <w:sz w:val="20"/>
                <w:szCs w:val="20"/>
                <w:lang w:val="fr-FR"/>
              </w:rPr>
            </w:pPr>
            <w:r w:rsidRPr="00A17ECC">
              <w:rPr>
                <w:rFonts w:ascii="Tahoma" w:hAnsi="Tahoma" w:cs="Tahoma"/>
                <w:sz w:val="20"/>
                <w:szCs w:val="20"/>
                <w:lang w:val="fr-FR"/>
              </w:rPr>
              <w:t>33,30%</w:t>
            </w:r>
          </w:p>
        </w:tc>
      </w:tr>
      <w:tr w:rsidR="00A17ECC" w:rsidTr="00A17ECC">
        <w:trPr>
          <w:trHeight w:val="26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66"/>
              <w:rPr>
                <w:rFonts w:ascii="Tahoma" w:hAnsi="Tahoma" w:cs="Tahoma"/>
                <w:b/>
                <w:sz w:val="20"/>
                <w:szCs w:val="20"/>
                <w:lang w:val="fr-FR"/>
              </w:rPr>
            </w:pPr>
            <w:r w:rsidRPr="00A17ECC">
              <w:rPr>
                <w:rFonts w:ascii="Tahoma" w:hAnsi="Tahoma" w:cs="Tahoma"/>
                <w:b/>
                <w:sz w:val="20"/>
                <w:szCs w:val="20"/>
                <w:lang w:val="fr-FR"/>
              </w:rPr>
              <w:t>France</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9,80%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46" w:right="946"/>
              <w:jc w:val="right"/>
              <w:rPr>
                <w:rFonts w:ascii="Tahoma" w:hAnsi="Tahoma" w:cs="Tahoma"/>
                <w:sz w:val="20"/>
                <w:szCs w:val="20"/>
                <w:lang w:val="fr-FR"/>
              </w:rPr>
            </w:pPr>
            <w:r w:rsidRPr="00A17ECC">
              <w:rPr>
                <w:rFonts w:ascii="Tahoma" w:hAnsi="Tahoma" w:cs="Tahoma"/>
                <w:sz w:val="20"/>
                <w:szCs w:val="20"/>
                <w:lang w:val="fr-FR"/>
              </w:rPr>
              <w:t>28,70%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38,50%</w:t>
            </w:r>
          </w:p>
        </w:tc>
      </w:tr>
      <w:tr w:rsidR="00A17ECC" w:rsidTr="00A17ECC">
        <w:trPr>
          <w:trHeight w:val="26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66"/>
              <w:rPr>
                <w:rFonts w:ascii="Tahoma" w:hAnsi="Tahoma" w:cs="Tahoma"/>
                <w:b/>
                <w:sz w:val="20"/>
                <w:szCs w:val="20"/>
                <w:lang w:val="fr-FR"/>
              </w:rPr>
            </w:pPr>
            <w:r w:rsidRPr="00A17ECC">
              <w:rPr>
                <w:rFonts w:ascii="Tahoma" w:hAnsi="Tahoma" w:cs="Tahoma"/>
                <w:b/>
                <w:sz w:val="20"/>
                <w:szCs w:val="20"/>
                <w:lang w:val="fr-FR"/>
              </w:rPr>
              <w:t>Italie</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7,20%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46" w:right="946"/>
              <w:jc w:val="right"/>
              <w:rPr>
                <w:rFonts w:ascii="Tahoma" w:hAnsi="Tahoma" w:cs="Tahoma"/>
                <w:sz w:val="20"/>
                <w:szCs w:val="20"/>
                <w:lang w:val="fr-FR"/>
              </w:rPr>
            </w:pPr>
            <w:r w:rsidRPr="00A17ECC">
              <w:rPr>
                <w:rFonts w:ascii="Tahoma" w:hAnsi="Tahoma" w:cs="Tahoma"/>
                <w:sz w:val="20"/>
                <w:szCs w:val="20"/>
                <w:lang w:val="fr-FR"/>
              </w:rPr>
              <w:t>24,30%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31,50%</w:t>
            </w:r>
          </w:p>
        </w:tc>
      </w:tr>
      <w:tr w:rsidR="00A17ECC" w:rsidTr="00A17ECC">
        <w:trPr>
          <w:trHeight w:val="26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66"/>
              <w:rPr>
                <w:rFonts w:ascii="Tahoma" w:hAnsi="Tahoma" w:cs="Tahoma"/>
                <w:b/>
                <w:sz w:val="20"/>
                <w:szCs w:val="20"/>
                <w:lang w:val="fr-FR"/>
              </w:rPr>
            </w:pPr>
            <w:r w:rsidRPr="00A17ECC">
              <w:rPr>
                <w:rFonts w:ascii="Tahoma" w:hAnsi="Tahoma" w:cs="Tahoma"/>
                <w:b/>
                <w:sz w:val="20"/>
                <w:szCs w:val="20"/>
                <w:lang w:val="fr-FR"/>
              </w:rPr>
              <w:t>Suède</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5,30%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46" w:right="946"/>
              <w:jc w:val="right"/>
              <w:rPr>
                <w:rFonts w:ascii="Tahoma" w:hAnsi="Tahoma" w:cs="Tahoma"/>
                <w:sz w:val="20"/>
                <w:szCs w:val="20"/>
                <w:lang w:val="fr-FR"/>
              </w:rPr>
            </w:pPr>
            <w:r w:rsidRPr="00A17ECC">
              <w:rPr>
                <w:rFonts w:ascii="Tahoma" w:hAnsi="Tahoma" w:cs="Tahoma"/>
                <w:sz w:val="20"/>
                <w:szCs w:val="20"/>
                <w:lang w:val="fr-FR"/>
              </w:rPr>
              <w:t>23,90%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29,20%</w:t>
            </w:r>
          </w:p>
        </w:tc>
      </w:tr>
      <w:tr w:rsidR="00A17ECC" w:rsidTr="00A17ECC">
        <w:trPr>
          <w:trHeight w:val="26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66"/>
              <w:rPr>
                <w:rFonts w:ascii="Tahoma" w:hAnsi="Tahoma" w:cs="Tahoma"/>
                <w:b/>
                <w:sz w:val="20"/>
                <w:szCs w:val="20"/>
                <w:lang w:val="fr-FR"/>
              </w:rPr>
            </w:pPr>
            <w:r w:rsidRPr="00A17ECC">
              <w:rPr>
                <w:rFonts w:ascii="Tahoma" w:hAnsi="Tahoma" w:cs="Tahoma"/>
                <w:b/>
                <w:sz w:val="20"/>
                <w:szCs w:val="20"/>
                <w:lang w:val="fr-FR"/>
              </w:rPr>
              <w:t>Espagne</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4,90%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left="46" w:right="946"/>
              <w:jc w:val="right"/>
              <w:rPr>
                <w:rFonts w:ascii="Tahoma" w:hAnsi="Tahoma" w:cs="Tahoma"/>
                <w:sz w:val="20"/>
                <w:szCs w:val="20"/>
                <w:lang w:val="fr-FR"/>
              </w:rPr>
            </w:pPr>
            <w:r w:rsidRPr="00A17ECC">
              <w:rPr>
                <w:rFonts w:ascii="Tahoma" w:hAnsi="Tahoma" w:cs="Tahoma"/>
                <w:sz w:val="20"/>
                <w:szCs w:val="20"/>
                <w:lang w:val="fr-FR"/>
              </w:rPr>
              <w:t>23,00%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ind w:right="946"/>
              <w:jc w:val="right"/>
              <w:rPr>
                <w:rFonts w:ascii="Tahoma" w:hAnsi="Tahoma" w:cs="Tahoma"/>
                <w:sz w:val="20"/>
                <w:szCs w:val="20"/>
                <w:lang w:val="fr-FR"/>
              </w:rPr>
            </w:pPr>
            <w:r w:rsidRPr="00A17ECC">
              <w:rPr>
                <w:rFonts w:ascii="Tahoma" w:hAnsi="Tahoma" w:cs="Tahoma"/>
                <w:sz w:val="20"/>
                <w:szCs w:val="20"/>
                <w:lang w:val="fr-FR"/>
              </w:rPr>
              <w:t>27,90%</w:t>
            </w:r>
          </w:p>
        </w:tc>
      </w:tr>
      <w:tr w:rsidR="00A17ECC" w:rsidTr="00A17ECC">
        <w:trPr>
          <w:trHeight w:val="54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71" w:lineRule="exact"/>
              <w:ind w:left="66"/>
              <w:rPr>
                <w:rFonts w:ascii="Tahoma" w:hAnsi="Tahoma" w:cs="Tahoma"/>
                <w:b/>
                <w:sz w:val="20"/>
                <w:szCs w:val="20"/>
                <w:lang w:val="fr-FR"/>
              </w:rPr>
            </w:pPr>
            <w:r w:rsidRPr="00A17ECC">
              <w:rPr>
                <w:rFonts w:ascii="Tahoma" w:hAnsi="Tahoma" w:cs="Tahoma"/>
                <w:b/>
                <w:sz w:val="20"/>
                <w:szCs w:val="20"/>
                <w:lang w:val="fr-FR"/>
              </w:rPr>
              <w:t>Royaume-Uni</w:t>
            </w:r>
          </w:p>
        </w:tc>
        <w:tc>
          <w:tcPr>
            <w:tcW w:w="2363" w:type="dxa"/>
            <w:tcBorders>
              <w:top w:val="single" w:sz="4" w:space="0" w:color="000000"/>
              <w:left w:val="single" w:sz="4" w:space="0" w:color="000000"/>
              <w:bottom w:val="single" w:sz="4" w:space="0" w:color="000000"/>
              <w:right w:val="single" w:sz="4" w:space="0" w:color="000000"/>
            </w:tcBorders>
          </w:tcPr>
          <w:p w:rsidR="00A17ECC" w:rsidRPr="00A17ECC" w:rsidRDefault="00A17ECC" w:rsidP="00A17ECC">
            <w:pPr>
              <w:pStyle w:val="TableParagraph"/>
              <w:spacing w:line="260" w:lineRule="exact"/>
              <w:ind w:right="946"/>
              <w:jc w:val="right"/>
              <w:rPr>
                <w:rFonts w:ascii="Tahoma" w:hAnsi="Tahoma" w:cs="Tahoma"/>
                <w:sz w:val="20"/>
                <w:szCs w:val="20"/>
                <w:lang w:val="fr-FR"/>
              </w:rPr>
            </w:pPr>
            <w:r w:rsidRPr="00A17ECC">
              <w:rPr>
                <w:rFonts w:ascii="Tahoma" w:hAnsi="Tahoma" w:cs="Tahoma"/>
                <w:sz w:val="20"/>
                <w:szCs w:val="20"/>
                <w:lang w:val="fr-FR"/>
              </w:rPr>
              <w:t>8,50%</w:t>
            </w:r>
          </w:p>
        </w:tc>
        <w:tc>
          <w:tcPr>
            <w:tcW w:w="2363" w:type="dxa"/>
            <w:tcBorders>
              <w:top w:val="single" w:sz="4" w:space="0" w:color="000000"/>
              <w:left w:val="single" w:sz="4" w:space="0" w:color="000000"/>
              <w:bottom w:val="single" w:sz="4" w:space="0" w:color="000000"/>
              <w:right w:val="single" w:sz="4" w:space="0" w:color="000000"/>
            </w:tcBorders>
          </w:tcPr>
          <w:p w:rsidR="00A17ECC" w:rsidRPr="00A17ECC" w:rsidRDefault="00A17ECC" w:rsidP="00A17ECC">
            <w:pPr>
              <w:pStyle w:val="TableParagraph"/>
              <w:spacing w:line="260" w:lineRule="exact"/>
              <w:ind w:left="46" w:right="946"/>
              <w:jc w:val="right"/>
              <w:rPr>
                <w:rFonts w:ascii="Tahoma" w:hAnsi="Tahoma" w:cs="Tahoma"/>
                <w:sz w:val="20"/>
                <w:szCs w:val="20"/>
                <w:lang w:val="fr-FR"/>
              </w:rPr>
            </w:pPr>
            <w:r w:rsidRPr="00A17ECC">
              <w:rPr>
                <w:rFonts w:ascii="Tahoma" w:hAnsi="Tahoma" w:cs="Tahoma"/>
                <w:sz w:val="20"/>
                <w:szCs w:val="20"/>
                <w:lang w:val="fr-FR"/>
              </w:rPr>
              <w:t>9,80%</w:t>
            </w:r>
          </w:p>
        </w:tc>
        <w:tc>
          <w:tcPr>
            <w:tcW w:w="2363" w:type="dxa"/>
            <w:tcBorders>
              <w:top w:val="single" w:sz="4" w:space="0" w:color="000000"/>
              <w:left w:val="single" w:sz="4" w:space="0" w:color="000000"/>
              <w:bottom w:val="single" w:sz="4" w:space="0" w:color="000000"/>
              <w:right w:val="single" w:sz="4" w:space="0" w:color="000000"/>
            </w:tcBorders>
          </w:tcPr>
          <w:p w:rsidR="00A17ECC" w:rsidRPr="00A17ECC" w:rsidRDefault="00A17ECC" w:rsidP="00A17ECC">
            <w:pPr>
              <w:pStyle w:val="TableParagraph"/>
              <w:spacing w:line="260" w:lineRule="exact"/>
              <w:ind w:right="946"/>
              <w:jc w:val="right"/>
              <w:rPr>
                <w:rFonts w:ascii="Tahoma" w:hAnsi="Tahoma" w:cs="Tahoma"/>
                <w:sz w:val="20"/>
                <w:szCs w:val="20"/>
                <w:lang w:val="fr-FR"/>
              </w:rPr>
            </w:pPr>
            <w:r w:rsidRPr="00A17ECC">
              <w:rPr>
                <w:rFonts w:ascii="Tahoma" w:hAnsi="Tahoma" w:cs="Tahoma"/>
                <w:sz w:val="20"/>
                <w:szCs w:val="20"/>
                <w:lang w:val="fr-FR"/>
              </w:rPr>
              <w:t>18,30%</w:t>
            </w:r>
          </w:p>
        </w:tc>
      </w:tr>
      <w:tr w:rsidR="00A17ECC" w:rsidTr="00A17ECC">
        <w:trPr>
          <w:trHeight w:val="260"/>
        </w:trPr>
        <w:tc>
          <w:tcPr>
            <w:tcW w:w="1696"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8" w:lineRule="exact"/>
              <w:ind w:left="66"/>
              <w:rPr>
                <w:rFonts w:ascii="Tahoma" w:hAnsi="Tahoma" w:cs="Tahoma"/>
                <w:b/>
                <w:sz w:val="20"/>
                <w:szCs w:val="20"/>
                <w:lang w:val="fr-FR"/>
              </w:rPr>
            </w:pPr>
            <w:r w:rsidRPr="00A17ECC">
              <w:rPr>
                <w:rFonts w:ascii="Tahoma" w:hAnsi="Tahoma" w:cs="Tahoma"/>
                <w:b/>
                <w:sz w:val="20"/>
                <w:szCs w:val="20"/>
                <w:lang w:val="fr-FR"/>
              </w:rPr>
              <w:t>États-Unis</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8" w:lineRule="exact"/>
              <w:ind w:right="946"/>
              <w:jc w:val="right"/>
              <w:rPr>
                <w:rFonts w:ascii="Tahoma" w:hAnsi="Tahoma" w:cs="Tahoma"/>
                <w:sz w:val="20"/>
                <w:szCs w:val="20"/>
                <w:lang w:val="fr-FR"/>
              </w:rPr>
            </w:pPr>
            <w:r w:rsidRPr="00A17ECC">
              <w:rPr>
                <w:rFonts w:ascii="Tahoma" w:hAnsi="Tahoma" w:cs="Tahoma"/>
                <w:sz w:val="20"/>
                <w:szCs w:val="20"/>
                <w:lang w:val="fr-FR"/>
              </w:rPr>
              <w:t>7,00%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8" w:lineRule="exact"/>
              <w:ind w:left="46" w:right="946"/>
              <w:jc w:val="right"/>
              <w:rPr>
                <w:rFonts w:ascii="Tahoma" w:hAnsi="Tahoma" w:cs="Tahoma"/>
                <w:sz w:val="20"/>
                <w:szCs w:val="20"/>
                <w:lang w:val="fr-FR"/>
              </w:rPr>
            </w:pPr>
            <w:r w:rsidRPr="00A17ECC">
              <w:rPr>
                <w:rFonts w:ascii="Tahoma" w:hAnsi="Tahoma" w:cs="Tahoma"/>
                <w:sz w:val="20"/>
                <w:szCs w:val="20"/>
                <w:lang w:val="fr-FR"/>
              </w:rPr>
              <w:t>8,90%</w:t>
            </w:r>
          </w:p>
        </w:tc>
        <w:tc>
          <w:tcPr>
            <w:tcW w:w="2363" w:type="dxa"/>
            <w:tcBorders>
              <w:top w:val="single" w:sz="4" w:space="0" w:color="000000"/>
              <w:left w:val="single" w:sz="4" w:space="0" w:color="000000"/>
              <w:bottom w:val="single" w:sz="4" w:space="0" w:color="000000"/>
              <w:right w:val="single" w:sz="4" w:space="0" w:color="000000"/>
            </w:tcBorders>
            <w:hideMark/>
          </w:tcPr>
          <w:p w:rsidR="00A17ECC" w:rsidRPr="00A17ECC" w:rsidRDefault="00A17ECC" w:rsidP="00A17ECC">
            <w:pPr>
              <w:pStyle w:val="TableParagraph"/>
              <w:spacing w:line="258" w:lineRule="exact"/>
              <w:ind w:right="946"/>
              <w:jc w:val="right"/>
              <w:rPr>
                <w:rFonts w:ascii="Tahoma" w:hAnsi="Tahoma" w:cs="Tahoma"/>
                <w:sz w:val="20"/>
                <w:szCs w:val="20"/>
                <w:lang w:val="fr-FR"/>
              </w:rPr>
            </w:pPr>
            <w:r w:rsidRPr="00A17ECC">
              <w:rPr>
                <w:rFonts w:ascii="Tahoma" w:hAnsi="Tahoma" w:cs="Tahoma"/>
                <w:sz w:val="20"/>
                <w:szCs w:val="20"/>
                <w:lang w:val="fr-FR"/>
              </w:rPr>
              <w:t>15,90%</w:t>
            </w:r>
          </w:p>
        </w:tc>
      </w:tr>
    </w:tbl>
    <w:p w:rsidR="00E8016F" w:rsidRPr="00A17ECC" w:rsidRDefault="00E8016F" w:rsidP="00BC1BB0">
      <w:pPr>
        <w:jc w:val="right"/>
        <w:rPr>
          <w:b/>
          <w:i/>
          <w:iCs/>
        </w:rPr>
      </w:pPr>
      <w:r w:rsidRPr="00A17ECC">
        <w:rPr>
          <w:b/>
          <w:i/>
          <w:iCs/>
        </w:rPr>
        <w:tab/>
        <w:t>Source : OCDE, 2013.</w:t>
      </w:r>
    </w:p>
    <w:p w:rsidR="00B052A2" w:rsidRDefault="00B052A2" w:rsidP="00E8016F">
      <w:pPr>
        <w:jc w:val="left"/>
        <w:rPr>
          <w:b/>
        </w:rPr>
      </w:pPr>
    </w:p>
    <w:p w:rsidR="00E8016F" w:rsidRDefault="00E8016F" w:rsidP="00E8016F">
      <w:pPr>
        <w:jc w:val="left"/>
        <w:rPr>
          <w:b/>
        </w:rPr>
      </w:pPr>
      <w:r w:rsidRPr="00E8016F">
        <w:rPr>
          <w:b/>
        </w:rPr>
        <w:t>Annexe</w:t>
      </w:r>
      <w:r w:rsidR="00B052A2">
        <w:rPr>
          <w:b/>
        </w:rPr>
        <w:t xml:space="preserve"> </w:t>
      </w:r>
      <w:r w:rsidRPr="00E8016F">
        <w:rPr>
          <w:b/>
        </w:rPr>
        <w:t>5 :</w:t>
      </w:r>
      <w:r w:rsidR="00B052A2">
        <w:rPr>
          <w:b/>
        </w:rPr>
        <w:t xml:space="preserve"> </w:t>
      </w:r>
      <w:r w:rsidRPr="00E8016F">
        <w:rPr>
          <w:b/>
        </w:rPr>
        <w:t>Effets</w:t>
      </w:r>
      <w:r w:rsidR="00B052A2">
        <w:rPr>
          <w:b/>
        </w:rPr>
        <w:t xml:space="preserve"> </w:t>
      </w:r>
      <w:r w:rsidRPr="00E8016F">
        <w:rPr>
          <w:b/>
        </w:rPr>
        <w:t>des</w:t>
      </w:r>
      <w:r w:rsidRPr="00E8016F">
        <w:rPr>
          <w:b/>
        </w:rPr>
        <w:tab/>
        <w:t>mécanismes</w:t>
      </w:r>
      <w:r w:rsidR="00B052A2">
        <w:rPr>
          <w:b/>
        </w:rPr>
        <w:t xml:space="preserve"> </w:t>
      </w:r>
      <w:r w:rsidRPr="00E8016F">
        <w:rPr>
          <w:b/>
        </w:rPr>
        <w:t>de</w:t>
      </w:r>
      <w:r w:rsidR="00B052A2">
        <w:rPr>
          <w:b/>
        </w:rPr>
        <w:t xml:space="preserve"> </w:t>
      </w:r>
      <w:r w:rsidRPr="00E8016F">
        <w:rPr>
          <w:b/>
        </w:rPr>
        <w:t>redistribution</w:t>
      </w:r>
      <w:r w:rsidR="00B052A2">
        <w:rPr>
          <w:b/>
        </w:rPr>
        <w:t xml:space="preserve"> </w:t>
      </w:r>
      <w:r w:rsidRPr="00E8016F">
        <w:rPr>
          <w:b/>
        </w:rPr>
        <w:t>sur</w:t>
      </w:r>
      <w:r w:rsidR="00B052A2">
        <w:rPr>
          <w:b/>
        </w:rPr>
        <w:t xml:space="preserve"> </w:t>
      </w:r>
      <w:r w:rsidRPr="00E8016F">
        <w:rPr>
          <w:b/>
        </w:rPr>
        <w:t>les</w:t>
      </w:r>
      <w:r w:rsidR="00B052A2">
        <w:rPr>
          <w:b/>
        </w:rPr>
        <w:t xml:space="preserve"> </w:t>
      </w:r>
      <w:r w:rsidRPr="00E8016F">
        <w:rPr>
          <w:b/>
        </w:rPr>
        <w:t>revenus disponibles mensuels pour les plus riches et les plus pauvres.</w:t>
      </w:r>
    </w:p>
    <w:p w:rsidR="00A17ECC" w:rsidRPr="00E8016F" w:rsidRDefault="00A17ECC" w:rsidP="00E8016F">
      <w:pPr>
        <w:jc w:val="left"/>
        <w:rPr>
          <w:b/>
        </w:rPr>
      </w:pPr>
    </w:p>
    <w:tbl>
      <w:tblPr>
        <w:tblStyle w:val="TableNormal1"/>
        <w:tblW w:w="929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6"/>
        <w:gridCol w:w="2769"/>
        <w:gridCol w:w="3085"/>
      </w:tblGrid>
      <w:tr w:rsidR="00B052A2" w:rsidRPr="00B052A2" w:rsidTr="00B052A2">
        <w:trPr>
          <w:trHeight w:val="680"/>
        </w:trPr>
        <w:tc>
          <w:tcPr>
            <w:tcW w:w="3436" w:type="dxa"/>
            <w:tcBorders>
              <w:top w:val="single" w:sz="4" w:space="0" w:color="000000"/>
              <w:left w:val="single" w:sz="4" w:space="0" w:color="000000"/>
              <w:bottom w:val="single" w:sz="4" w:space="0" w:color="000000"/>
              <w:right w:val="single" w:sz="4" w:space="0" w:color="000000"/>
            </w:tcBorders>
          </w:tcPr>
          <w:p w:rsidR="00B052A2" w:rsidRPr="00B052A2" w:rsidRDefault="00B052A2" w:rsidP="00B052A2">
            <w:pPr>
              <w:spacing w:before="0" w:after="0"/>
              <w:jc w:val="left"/>
              <w:rPr>
                <w:rFonts w:eastAsia="Arial" w:cs="Tahoma"/>
                <w:sz w:val="20"/>
                <w:szCs w:val="20"/>
                <w:lang w:val="fr-FR"/>
              </w:rPr>
            </w:pPr>
          </w:p>
        </w:tc>
        <w:tc>
          <w:tcPr>
            <w:tcW w:w="2769" w:type="dxa"/>
            <w:tcBorders>
              <w:top w:val="single" w:sz="4" w:space="0" w:color="000000"/>
              <w:left w:val="single" w:sz="4" w:space="0" w:color="000000"/>
              <w:bottom w:val="single" w:sz="4" w:space="0" w:color="000000"/>
              <w:right w:val="single" w:sz="4" w:space="0" w:color="000000"/>
            </w:tcBorders>
            <w:hideMark/>
          </w:tcPr>
          <w:p w:rsidR="00B052A2" w:rsidRPr="00B052A2" w:rsidRDefault="00B052A2" w:rsidP="00B052A2">
            <w:pPr>
              <w:spacing w:before="0" w:after="0"/>
              <w:ind w:left="125" w:right="122"/>
              <w:jc w:val="center"/>
              <w:rPr>
                <w:rFonts w:eastAsia="Arial" w:cs="Tahoma"/>
                <w:b/>
                <w:sz w:val="20"/>
                <w:szCs w:val="20"/>
                <w:lang w:val="fr-FR"/>
              </w:rPr>
            </w:pPr>
            <w:r w:rsidRPr="00B052A2">
              <w:rPr>
                <w:rFonts w:eastAsia="Arial" w:cs="Tahoma"/>
                <w:b/>
                <w:sz w:val="20"/>
                <w:szCs w:val="20"/>
                <w:lang w:val="fr-FR"/>
              </w:rPr>
              <w:t>Montant moyen pour les 10 % les plus pauvres</w:t>
            </w:r>
          </w:p>
          <w:p w:rsidR="00B052A2" w:rsidRPr="00B052A2" w:rsidRDefault="00B052A2" w:rsidP="00B052A2">
            <w:pPr>
              <w:spacing w:before="6" w:after="0" w:line="215" w:lineRule="exact"/>
              <w:ind w:left="122" w:right="122"/>
              <w:jc w:val="center"/>
              <w:rPr>
                <w:rFonts w:eastAsia="Arial" w:cs="Tahoma"/>
                <w:b/>
                <w:sz w:val="20"/>
                <w:szCs w:val="20"/>
                <w:lang w:val="fr-FR"/>
              </w:rPr>
            </w:pPr>
            <w:r w:rsidRPr="00B052A2">
              <w:rPr>
                <w:rFonts w:eastAsia="Arial" w:cs="Tahoma"/>
                <w:b/>
                <w:sz w:val="20"/>
                <w:szCs w:val="20"/>
                <w:lang w:val="fr-FR"/>
              </w:rPr>
              <w:t>en euros</w:t>
            </w:r>
          </w:p>
        </w:tc>
        <w:tc>
          <w:tcPr>
            <w:tcW w:w="3085" w:type="dxa"/>
            <w:tcBorders>
              <w:top w:val="single" w:sz="4" w:space="0" w:color="000000"/>
              <w:left w:val="single" w:sz="4" w:space="0" w:color="000000"/>
              <w:bottom w:val="single" w:sz="4" w:space="0" w:color="000000"/>
              <w:right w:val="single" w:sz="4" w:space="0" w:color="000000"/>
            </w:tcBorders>
            <w:hideMark/>
          </w:tcPr>
          <w:p w:rsidR="00B052A2" w:rsidRPr="00B052A2" w:rsidRDefault="00B052A2" w:rsidP="00B052A2">
            <w:pPr>
              <w:spacing w:before="0" w:after="0"/>
              <w:ind w:left="126" w:right="123"/>
              <w:jc w:val="center"/>
              <w:rPr>
                <w:rFonts w:eastAsia="Arial" w:cs="Tahoma"/>
                <w:b/>
                <w:sz w:val="20"/>
                <w:szCs w:val="20"/>
                <w:lang w:val="fr-FR"/>
              </w:rPr>
            </w:pPr>
            <w:r w:rsidRPr="00B052A2">
              <w:rPr>
                <w:rFonts w:eastAsia="Arial" w:cs="Tahoma"/>
                <w:b/>
                <w:sz w:val="20"/>
                <w:szCs w:val="20"/>
                <w:lang w:val="fr-FR"/>
              </w:rPr>
              <w:t>Montant moyen pour les 10 % les plus riches</w:t>
            </w:r>
          </w:p>
          <w:p w:rsidR="00B052A2" w:rsidRPr="00B052A2" w:rsidRDefault="00B052A2" w:rsidP="00B052A2">
            <w:pPr>
              <w:spacing w:before="6" w:after="0" w:line="215" w:lineRule="exact"/>
              <w:ind w:left="122" w:right="123"/>
              <w:jc w:val="center"/>
              <w:rPr>
                <w:rFonts w:eastAsia="Arial" w:cs="Tahoma"/>
                <w:b/>
                <w:sz w:val="20"/>
                <w:szCs w:val="20"/>
                <w:lang w:val="fr-FR"/>
              </w:rPr>
            </w:pPr>
            <w:r w:rsidRPr="00B052A2">
              <w:rPr>
                <w:rFonts w:eastAsia="Arial" w:cs="Tahoma"/>
                <w:b/>
                <w:sz w:val="20"/>
                <w:szCs w:val="20"/>
                <w:lang w:val="fr-FR"/>
              </w:rPr>
              <w:t>en euros</w:t>
            </w:r>
          </w:p>
        </w:tc>
      </w:tr>
      <w:tr w:rsidR="00B052A2" w:rsidRPr="00B052A2" w:rsidTr="00B052A2">
        <w:trPr>
          <w:trHeight w:val="500"/>
        </w:trPr>
        <w:tc>
          <w:tcPr>
            <w:tcW w:w="3436" w:type="dxa"/>
            <w:tcBorders>
              <w:top w:val="single" w:sz="4" w:space="0" w:color="000000"/>
              <w:left w:val="single" w:sz="4" w:space="0" w:color="000000"/>
              <w:bottom w:val="single" w:sz="8" w:space="0" w:color="000000"/>
              <w:right w:val="single" w:sz="4" w:space="0" w:color="000000"/>
            </w:tcBorders>
            <w:hideMark/>
          </w:tcPr>
          <w:p w:rsidR="00B052A2" w:rsidRPr="00B052A2" w:rsidRDefault="00B052A2" w:rsidP="00B052A2">
            <w:pPr>
              <w:spacing w:line="252" w:lineRule="exact"/>
              <w:ind w:left="102"/>
              <w:jc w:val="left"/>
              <w:rPr>
                <w:rFonts w:eastAsia="Arial" w:cs="Tahoma"/>
                <w:b/>
                <w:sz w:val="20"/>
                <w:szCs w:val="20"/>
                <w:lang w:val="fr-FR"/>
              </w:rPr>
            </w:pPr>
            <w:r w:rsidRPr="00B052A2">
              <w:rPr>
                <w:rFonts w:eastAsia="Arial" w:cs="Tahoma"/>
                <w:b/>
                <w:sz w:val="20"/>
                <w:szCs w:val="20"/>
                <w:lang w:val="fr-FR"/>
              </w:rPr>
              <w:t>Revenu primaire avant redistribution</w:t>
            </w:r>
          </w:p>
        </w:tc>
        <w:tc>
          <w:tcPr>
            <w:tcW w:w="2769" w:type="dxa"/>
            <w:tcBorders>
              <w:top w:val="single" w:sz="4" w:space="0" w:color="000000"/>
              <w:left w:val="single" w:sz="4" w:space="0" w:color="000000"/>
              <w:bottom w:val="single" w:sz="8" w:space="0" w:color="000000"/>
              <w:right w:val="single" w:sz="4" w:space="0" w:color="000000"/>
            </w:tcBorders>
            <w:vAlign w:val="center"/>
            <w:hideMark/>
          </w:tcPr>
          <w:p w:rsidR="00B052A2" w:rsidRPr="00B052A2" w:rsidRDefault="00B052A2" w:rsidP="00B052A2">
            <w:pPr>
              <w:spacing w:line="248" w:lineRule="exact"/>
              <w:ind w:left="124" w:right="1212"/>
              <w:jc w:val="right"/>
              <w:rPr>
                <w:rFonts w:eastAsia="Arial" w:cs="Tahoma"/>
                <w:b/>
                <w:sz w:val="20"/>
                <w:szCs w:val="20"/>
                <w:lang w:val="fr-FR"/>
              </w:rPr>
            </w:pPr>
            <w:r w:rsidRPr="00B052A2">
              <w:rPr>
                <w:rFonts w:eastAsia="Arial" w:cs="Tahoma"/>
                <w:b/>
                <w:sz w:val="20"/>
                <w:szCs w:val="20"/>
                <w:lang w:val="fr-FR"/>
              </w:rPr>
              <w:t>281</w:t>
            </w:r>
          </w:p>
        </w:tc>
        <w:tc>
          <w:tcPr>
            <w:tcW w:w="3085" w:type="dxa"/>
            <w:tcBorders>
              <w:top w:val="single" w:sz="4" w:space="0" w:color="000000"/>
              <w:left w:val="single" w:sz="4" w:space="0" w:color="000000"/>
              <w:bottom w:val="single" w:sz="8" w:space="0" w:color="000000"/>
              <w:right w:val="single" w:sz="4" w:space="0" w:color="000000"/>
            </w:tcBorders>
            <w:vAlign w:val="center"/>
            <w:hideMark/>
          </w:tcPr>
          <w:p w:rsidR="00B052A2" w:rsidRPr="00B052A2" w:rsidRDefault="00B052A2" w:rsidP="00B052A2">
            <w:pPr>
              <w:spacing w:line="248" w:lineRule="exact"/>
              <w:ind w:left="125" w:right="1212"/>
              <w:jc w:val="right"/>
              <w:rPr>
                <w:rFonts w:eastAsia="Arial" w:cs="Tahoma"/>
                <w:b/>
                <w:sz w:val="20"/>
                <w:szCs w:val="20"/>
                <w:lang w:val="fr-FR"/>
              </w:rPr>
            </w:pPr>
            <w:r w:rsidRPr="00B052A2">
              <w:rPr>
                <w:rFonts w:eastAsia="Arial" w:cs="Tahoma"/>
                <w:b/>
                <w:sz w:val="20"/>
                <w:szCs w:val="20"/>
                <w:lang w:val="fr-FR"/>
              </w:rPr>
              <w:t>5 939</w:t>
            </w:r>
          </w:p>
        </w:tc>
      </w:tr>
      <w:tr w:rsidR="00B052A2" w:rsidRPr="00B052A2" w:rsidTr="00B052A2">
        <w:trPr>
          <w:trHeight w:val="500"/>
        </w:trPr>
        <w:tc>
          <w:tcPr>
            <w:tcW w:w="3436" w:type="dxa"/>
            <w:tcBorders>
              <w:top w:val="single" w:sz="8" w:space="0" w:color="000000"/>
              <w:left w:val="single" w:sz="4" w:space="0" w:color="000000"/>
              <w:bottom w:val="single" w:sz="4" w:space="0" w:color="000000"/>
              <w:right w:val="single" w:sz="4" w:space="0" w:color="000000"/>
            </w:tcBorders>
            <w:hideMark/>
          </w:tcPr>
          <w:p w:rsidR="00B052A2" w:rsidRPr="00B052A2" w:rsidRDefault="00B052A2" w:rsidP="00B052A2">
            <w:pPr>
              <w:spacing w:line="252" w:lineRule="exact"/>
              <w:ind w:left="102"/>
              <w:jc w:val="left"/>
              <w:rPr>
                <w:rFonts w:eastAsia="Arial" w:cs="Tahoma"/>
                <w:sz w:val="20"/>
                <w:szCs w:val="20"/>
                <w:lang w:val="fr-FR"/>
              </w:rPr>
            </w:pPr>
            <w:r w:rsidRPr="00B052A2">
              <w:rPr>
                <w:rFonts w:eastAsia="Arial" w:cs="Tahoma"/>
                <w:sz w:val="20"/>
                <w:szCs w:val="20"/>
                <w:lang w:val="fr-FR"/>
              </w:rPr>
              <w:t>Cotisations patronales famille + CSG-CRDS</w:t>
            </w:r>
          </w:p>
        </w:tc>
        <w:tc>
          <w:tcPr>
            <w:tcW w:w="2769" w:type="dxa"/>
            <w:tcBorders>
              <w:top w:val="single" w:sz="8"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50" w:lineRule="exact"/>
              <w:ind w:left="125" w:right="1212"/>
              <w:jc w:val="right"/>
              <w:rPr>
                <w:rFonts w:eastAsia="Arial" w:cs="Tahoma"/>
                <w:sz w:val="20"/>
                <w:szCs w:val="20"/>
                <w:lang w:val="fr-FR"/>
              </w:rPr>
            </w:pPr>
            <w:r w:rsidRPr="00B052A2">
              <w:rPr>
                <w:rFonts w:eastAsia="Arial" w:cs="Tahoma"/>
                <w:sz w:val="20"/>
                <w:szCs w:val="20"/>
                <w:lang w:val="fr-FR"/>
              </w:rPr>
              <w:t>- 13</w:t>
            </w:r>
          </w:p>
        </w:tc>
        <w:tc>
          <w:tcPr>
            <w:tcW w:w="3085" w:type="dxa"/>
            <w:tcBorders>
              <w:top w:val="single" w:sz="8"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50" w:lineRule="exact"/>
              <w:ind w:left="125" w:right="1212"/>
              <w:jc w:val="right"/>
              <w:rPr>
                <w:rFonts w:eastAsia="Arial" w:cs="Tahoma"/>
                <w:sz w:val="20"/>
                <w:szCs w:val="20"/>
                <w:lang w:val="fr-FR"/>
              </w:rPr>
            </w:pPr>
            <w:r w:rsidRPr="00B052A2">
              <w:rPr>
                <w:rFonts w:eastAsia="Arial" w:cs="Tahoma"/>
                <w:sz w:val="20"/>
                <w:szCs w:val="20"/>
                <w:lang w:val="fr-FR"/>
              </w:rPr>
              <w:t>- 443</w:t>
            </w:r>
          </w:p>
        </w:tc>
      </w:tr>
      <w:tr w:rsidR="00B052A2" w:rsidRPr="00B052A2" w:rsidTr="00B052A2">
        <w:trPr>
          <w:trHeight w:val="240"/>
        </w:trPr>
        <w:tc>
          <w:tcPr>
            <w:tcW w:w="3436" w:type="dxa"/>
            <w:tcBorders>
              <w:top w:val="single" w:sz="4" w:space="0" w:color="000000"/>
              <w:left w:val="single" w:sz="4" w:space="0" w:color="000000"/>
              <w:bottom w:val="single" w:sz="4" w:space="0" w:color="000000"/>
              <w:right w:val="single" w:sz="4" w:space="0" w:color="000000"/>
            </w:tcBorders>
            <w:hideMark/>
          </w:tcPr>
          <w:p w:rsidR="00B052A2" w:rsidRPr="00B052A2" w:rsidRDefault="00B052A2" w:rsidP="00B052A2">
            <w:pPr>
              <w:spacing w:line="231" w:lineRule="exact"/>
              <w:ind w:left="102"/>
              <w:jc w:val="left"/>
              <w:rPr>
                <w:rFonts w:eastAsia="Arial" w:cs="Tahoma"/>
                <w:sz w:val="20"/>
                <w:szCs w:val="20"/>
                <w:lang w:val="fr-FR"/>
              </w:rPr>
            </w:pPr>
            <w:r w:rsidRPr="00B052A2">
              <w:rPr>
                <w:rFonts w:eastAsia="Arial" w:cs="Tahoma"/>
                <w:sz w:val="20"/>
                <w:szCs w:val="20"/>
                <w:lang w:val="fr-FR"/>
              </w:rPr>
              <w:t>Impôts sur le revenu</w:t>
            </w:r>
          </w:p>
        </w:tc>
        <w:tc>
          <w:tcPr>
            <w:tcW w:w="2769" w:type="dxa"/>
            <w:tcBorders>
              <w:top w:val="single" w:sz="4"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1" w:lineRule="exact"/>
              <w:ind w:left="125" w:right="1212"/>
              <w:jc w:val="right"/>
              <w:rPr>
                <w:rFonts w:eastAsia="Arial" w:cs="Tahoma"/>
                <w:sz w:val="20"/>
                <w:szCs w:val="20"/>
                <w:lang w:val="fr-FR"/>
              </w:rPr>
            </w:pPr>
            <w:r w:rsidRPr="00B052A2">
              <w:rPr>
                <w:rFonts w:eastAsia="Arial" w:cs="Tahoma"/>
                <w:sz w:val="20"/>
                <w:szCs w:val="20"/>
                <w:lang w:val="fr-FR"/>
              </w:rPr>
              <w:t>+ 5</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1" w:lineRule="exact"/>
              <w:ind w:left="125" w:right="1212"/>
              <w:jc w:val="right"/>
              <w:rPr>
                <w:rFonts w:eastAsia="Arial" w:cs="Tahoma"/>
                <w:sz w:val="20"/>
                <w:szCs w:val="20"/>
                <w:lang w:val="fr-FR"/>
              </w:rPr>
            </w:pPr>
            <w:r w:rsidRPr="00B052A2">
              <w:rPr>
                <w:rFonts w:eastAsia="Arial" w:cs="Tahoma"/>
                <w:sz w:val="20"/>
                <w:szCs w:val="20"/>
                <w:lang w:val="fr-FR"/>
              </w:rPr>
              <w:t>- 785</w:t>
            </w:r>
          </w:p>
        </w:tc>
      </w:tr>
      <w:tr w:rsidR="00B052A2" w:rsidRPr="00B052A2" w:rsidTr="00B052A2">
        <w:trPr>
          <w:trHeight w:val="240"/>
        </w:trPr>
        <w:tc>
          <w:tcPr>
            <w:tcW w:w="3436" w:type="dxa"/>
            <w:tcBorders>
              <w:top w:val="single" w:sz="4" w:space="0" w:color="000000"/>
              <w:left w:val="single" w:sz="4" w:space="0" w:color="000000"/>
              <w:bottom w:val="single" w:sz="8" w:space="0" w:color="000000"/>
              <w:right w:val="single" w:sz="4" w:space="0" w:color="000000"/>
            </w:tcBorders>
            <w:hideMark/>
          </w:tcPr>
          <w:p w:rsidR="00B052A2" w:rsidRPr="00B052A2" w:rsidRDefault="00B052A2" w:rsidP="00B052A2">
            <w:pPr>
              <w:spacing w:line="234" w:lineRule="exact"/>
              <w:ind w:left="102"/>
              <w:jc w:val="left"/>
              <w:rPr>
                <w:rFonts w:eastAsia="Arial" w:cs="Tahoma"/>
                <w:sz w:val="20"/>
                <w:szCs w:val="20"/>
                <w:lang w:val="fr-FR"/>
              </w:rPr>
            </w:pPr>
            <w:r w:rsidRPr="00B052A2">
              <w:rPr>
                <w:rFonts w:eastAsia="Arial" w:cs="Tahoma"/>
                <w:sz w:val="20"/>
                <w:szCs w:val="20"/>
                <w:lang w:val="fr-FR"/>
              </w:rPr>
              <w:t>Taxe d’habitation</w:t>
            </w:r>
          </w:p>
        </w:tc>
        <w:tc>
          <w:tcPr>
            <w:tcW w:w="2769" w:type="dxa"/>
            <w:tcBorders>
              <w:top w:val="single" w:sz="4" w:space="0" w:color="000000"/>
              <w:left w:val="single" w:sz="4" w:space="0" w:color="000000"/>
              <w:bottom w:val="single" w:sz="8" w:space="0" w:color="000000"/>
              <w:right w:val="single" w:sz="4" w:space="0" w:color="000000"/>
            </w:tcBorders>
            <w:vAlign w:val="center"/>
            <w:hideMark/>
          </w:tcPr>
          <w:p w:rsidR="00B052A2" w:rsidRPr="00B052A2" w:rsidRDefault="00B052A2" w:rsidP="00B052A2">
            <w:pPr>
              <w:spacing w:line="234" w:lineRule="exact"/>
              <w:ind w:left="125" w:right="1212"/>
              <w:jc w:val="right"/>
              <w:rPr>
                <w:rFonts w:eastAsia="Arial" w:cs="Tahoma"/>
                <w:sz w:val="20"/>
                <w:szCs w:val="20"/>
                <w:lang w:val="fr-FR"/>
              </w:rPr>
            </w:pPr>
            <w:r w:rsidRPr="00B052A2">
              <w:rPr>
                <w:rFonts w:eastAsia="Arial" w:cs="Tahoma"/>
                <w:sz w:val="20"/>
                <w:szCs w:val="20"/>
                <w:lang w:val="fr-FR"/>
              </w:rPr>
              <w:t>- 4</w:t>
            </w:r>
          </w:p>
        </w:tc>
        <w:tc>
          <w:tcPr>
            <w:tcW w:w="3085" w:type="dxa"/>
            <w:tcBorders>
              <w:top w:val="single" w:sz="4" w:space="0" w:color="000000"/>
              <w:left w:val="single" w:sz="4" w:space="0" w:color="000000"/>
              <w:bottom w:val="single" w:sz="8" w:space="0" w:color="000000"/>
              <w:right w:val="single" w:sz="4" w:space="0" w:color="000000"/>
            </w:tcBorders>
            <w:vAlign w:val="center"/>
            <w:hideMark/>
          </w:tcPr>
          <w:p w:rsidR="00B052A2" w:rsidRPr="00B052A2" w:rsidRDefault="00B052A2" w:rsidP="00B052A2">
            <w:pPr>
              <w:spacing w:line="234" w:lineRule="exact"/>
              <w:ind w:left="123" w:right="1212"/>
              <w:jc w:val="right"/>
              <w:rPr>
                <w:rFonts w:eastAsia="Arial" w:cs="Tahoma"/>
                <w:sz w:val="20"/>
                <w:szCs w:val="20"/>
                <w:lang w:val="fr-FR"/>
              </w:rPr>
            </w:pPr>
            <w:r w:rsidRPr="00B052A2">
              <w:rPr>
                <w:rFonts w:eastAsia="Arial" w:cs="Tahoma"/>
                <w:sz w:val="20"/>
                <w:szCs w:val="20"/>
                <w:lang w:val="fr-FR"/>
              </w:rPr>
              <w:t>- 65</w:t>
            </w:r>
          </w:p>
        </w:tc>
      </w:tr>
      <w:tr w:rsidR="00B052A2" w:rsidRPr="00B052A2" w:rsidTr="00B052A2">
        <w:trPr>
          <w:trHeight w:val="240"/>
        </w:trPr>
        <w:tc>
          <w:tcPr>
            <w:tcW w:w="3436" w:type="dxa"/>
            <w:tcBorders>
              <w:top w:val="single" w:sz="8" w:space="0" w:color="000000"/>
              <w:left w:val="single" w:sz="4" w:space="0" w:color="000000"/>
              <w:bottom w:val="single" w:sz="4" w:space="0" w:color="000000"/>
              <w:right w:val="single" w:sz="4" w:space="0" w:color="000000"/>
            </w:tcBorders>
            <w:hideMark/>
          </w:tcPr>
          <w:p w:rsidR="00B052A2" w:rsidRPr="00B052A2" w:rsidRDefault="00B052A2" w:rsidP="00B052A2">
            <w:pPr>
              <w:spacing w:line="234" w:lineRule="exact"/>
              <w:ind w:left="102"/>
              <w:jc w:val="left"/>
              <w:rPr>
                <w:rFonts w:eastAsia="Arial" w:cs="Tahoma"/>
                <w:sz w:val="20"/>
                <w:szCs w:val="20"/>
                <w:lang w:val="fr-FR"/>
              </w:rPr>
            </w:pPr>
            <w:r w:rsidRPr="00B052A2">
              <w:rPr>
                <w:rFonts w:eastAsia="Arial" w:cs="Tahoma"/>
                <w:sz w:val="20"/>
                <w:szCs w:val="20"/>
                <w:lang w:val="fr-FR"/>
              </w:rPr>
              <w:t>Allocations familiales</w:t>
            </w:r>
          </w:p>
        </w:tc>
        <w:tc>
          <w:tcPr>
            <w:tcW w:w="2769" w:type="dxa"/>
            <w:tcBorders>
              <w:top w:val="single" w:sz="8"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4" w:lineRule="exact"/>
              <w:ind w:right="1212"/>
              <w:jc w:val="right"/>
              <w:rPr>
                <w:rFonts w:eastAsia="Arial" w:cs="Tahoma"/>
                <w:sz w:val="20"/>
                <w:szCs w:val="20"/>
                <w:lang w:val="fr-FR"/>
              </w:rPr>
            </w:pPr>
            <w:r w:rsidRPr="00B052A2">
              <w:rPr>
                <w:rFonts w:eastAsia="Arial" w:cs="Tahoma"/>
                <w:sz w:val="20"/>
                <w:szCs w:val="20"/>
                <w:lang w:val="fr-FR"/>
              </w:rPr>
              <w:t>+ 64</w:t>
            </w:r>
          </w:p>
        </w:tc>
        <w:tc>
          <w:tcPr>
            <w:tcW w:w="3085" w:type="dxa"/>
            <w:tcBorders>
              <w:top w:val="single" w:sz="8"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4" w:lineRule="exact"/>
              <w:ind w:left="125" w:right="1212"/>
              <w:jc w:val="right"/>
              <w:rPr>
                <w:rFonts w:eastAsia="Arial" w:cs="Tahoma"/>
                <w:sz w:val="20"/>
                <w:szCs w:val="20"/>
                <w:lang w:val="fr-FR"/>
              </w:rPr>
            </w:pPr>
            <w:r w:rsidRPr="00B052A2">
              <w:rPr>
                <w:rFonts w:eastAsia="Arial" w:cs="Tahoma"/>
                <w:sz w:val="20"/>
                <w:szCs w:val="20"/>
                <w:lang w:val="fr-FR"/>
              </w:rPr>
              <w:t>+ 12</w:t>
            </w:r>
          </w:p>
        </w:tc>
      </w:tr>
      <w:tr w:rsidR="00B052A2" w:rsidRPr="00B052A2" w:rsidTr="00B052A2">
        <w:trPr>
          <w:trHeight w:val="240"/>
        </w:trPr>
        <w:tc>
          <w:tcPr>
            <w:tcW w:w="3436" w:type="dxa"/>
            <w:tcBorders>
              <w:top w:val="single" w:sz="4" w:space="0" w:color="000000"/>
              <w:left w:val="single" w:sz="4" w:space="0" w:color="000000"/>
              <w:bottom w:val="single" w:sz="4" w:space="0" w:color="000000"/>
              <w:right w:val="single" w:sz="4" w:space="0" w:color="000000"/>
            </w:tcBorders>
            <w:hideMark/>
          </w:tcPr>
          <w:p w:rsidR="00B052A2" w:rsidRPr="00B052A2" w:rsidRDefault="00B052A2" w:rsidP="00B052A2">
            <w:pPr>
              <w:spacing w:line="232" w:lineRule="exact"/>
              <w:ind w:left="102"/>
              <w:jc w:val="left"/>
              <w:rPr>
                <w:rFonts w:eastAsia="Arial" w:cs="Tahoma"/>
                <w:sz w:val="20"/>
                <w:szCs w:val="20"/>
                <w:lang w:val="fr-FR"/>
              </w:rPr>
            </w:pPr>
            <w:r w:rsidRPr="00B052A2">
              <w:rPr>
                <w:rFonts w:eastAsia="Arial" w:cs="Tahoma"/>
                <w:sz w:val="20"/>
                <w:szCs w:val="20"/>
                <w:lang w:val="fr-FR"/>
              </w:rPr>
              <w:t>Autres prestations familiales</w:t>
            </w:r>
          </w:p>
        </w:tc>
        <w:tc>
          <w:tcPr>
            <w:tcW w:w="2769" w:type="dxa"/>
            <w:tcBorders>
              <w:top w:val="single" w:sz="4"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2" w:lineRule="exact"/>
              <w:ind w:right="1212"/>
              <w:jc w:val="right"/>
              <w:rPr>
                <w:rFonts w:eastAsia="Arial" w:cs="Tahoma"/>
                <w:sz w:val="20"/>
                <w:szCs w:val="20"/>
                <w:lang w:val="fr-FR"/>
              </w:rPr>
            </w:pPr>
            <w:r w:rsidRPr="00B052A2">
              <w:rPr>
                <w:rFonts w:eastAsia="Arial" w:cs="Tahoma"/>
                <w:sz w:val="20"/>
                <w:szCs w:val="20"/>
                <w:lang w:val="fr-FR"/>
              </w:rPr>
              <w:t>+ 100</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2" w:lineRule="exact"/>
              <w:ind w:left="123" w:right="1212"/>
              <w:jc w:val="right"/>
              <w:rPr>
                <w:rFonts w:eastAsia="Arial" w:cs="Tahoma"/>
                <w:sz w:val="20"/>
                <w:szCs w:val="20"/>
                <w:lang w:val="fr-FR"/>
              </w:rPr>
            </w:pPr>
            <w:r w:rsidRPr="00B052A2">
              <w:rPr>
                <w:rFonts w:eastAsia="Arial" w:cs="Tahoma"/>
                <w:sz w:val="20"/>
                <w:szCs w:val="20"/>
                <w:lang w:val="fr-FR"/>
              </w:rPr>
              <w:t>+ 3</w:t>
            </w:r>
          </w:p>
        </w:tc>
      </w:tr>
      <w:tr w:rsidR="00B052A2" w:rsidRPr="00B052A2" w:rsidTr="00B052A2">
        <w:trPr>
          <w:trHeight w:val="240"/>
        </w:trPr>
        <w:tc>
          <w:tcPr>
            <w:tcW w:w="3436" w:type="dxa"/>
            <w:tcBorders>
              <w:top w:val="single" w:sz="4" w:space="0" w:color="000000"/>
              <w:left w:val="single" w:sz="4" w:space="0" w:color="000000"/>
              <w:bottom w:val="single" w:sz="4" w:space="0" w:color="000000"/>
              <w:right w:val="single" w:sz="4" w:space="0" w:color="000000"/>
            </w:tcBorders>
            <w:hideMark/>
          </w:tcPr>
          <w:p w:rsidR="00B052A2" w:rsidRPr="00B052A2" w:rsidRDefault="00B052A2" w:rsidP="00B052A2">
            <w:pPr>
              <w:spacing w:line="234" w:lineRule="exact"/>
              <w:ind w:left="102"/>
              <w:jc w:val="left"/>
              <w:rPr>
                <w:rFonts w:eastAsia="Arial" w:cs="Tahoma"/>
                <w:sz w:val="20"/>
                <w:szCs w:val="20"/>
                <w:lang w:val="fr-FR"/>
              </w:rPr>
            </w:pPr>
            <w:r w:rsidRPr="00B052A2">
              <w:rPr>
                <w:rFonts w:eastAsia="Arial" w:cs="Tahoma"/>
                <w:sz w:val="20"/>
                <w:szCs w:val="20"/>
                <w:lang w:val="fr-FR"/>
              </w:rPr>
              <w:t>Aides au logement</w:t>
            </w:r>
          </w:p>
        </w:tc>
        <w:tc>
          <w:tcPr>
            <w:tcW w:w="2769" w:type="dxa"/>
            <w:tcBorders>
              <w:top w:val="single" w:sz="4"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4" w:lineRule="exact"/>
              <w:ind w:right="1212"/>
              <w:jc w:val="right"/>
              <w:rPr>
                <w:rFonts w:eastAsia="Arial" w:cs="Tahoma"/>
                <w:sz w:val="20"/>
                <w:szCs w:val="20"/>
                <w:lang w:val="fr-FR"/>
              </w:rPr>
            </w:pPr>
            <w:r w:rsidRPr="00B052A2">
              <w:rPr>
                <w:rFonts w:eastAsia="Arial" w:cs="Tahoma"/>
                <w:sz w:val="20"/>
                <w:szCs w:val="20"/>
                <w:lang w:val="fr-FR"/>
              </w:rPr>
              <w:t>+ 172</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34" w:lineRule="exact"/>
              <w:ind w:left="123" w:right="1212"/>
              <w:jc w:val="right"/>
              <w:rPr>
                <w:rFonts w:eastAsia="Arial" w:cs="Tahoma"/>
                <w:sz w:val="20"/>
                <w:szCs w:val="20"/>
                <w:lang w:val="fr-FR"/>
              </w:rPr>
            </w:pPr>
            <w:r w:rsidRPr="00B052A2">
              <w:rPr>
                <w:rFonts w:eastAsia="Arial" w:cs="Tahoma"/>
                <w:sz w:val="20"/>
                <w:szCs w:val="20"/>
                <w:lang w:val="fr-FR"/>
              </w:rPr>
              <w:t>+ 1</w:t>
            </w:r>
          </w:p>
        </w:tc>
      </w:tr>
      <w:tr w:rsidR="00B052A2" w:rsidRPr="00B052A2" w:rsidTr="00B052A2">
        <w:trPr>
          <w:trHeight w:val="500"/>
        </w:trPr>
        <w:tc>
          <w:tcPr>
            <w:tcW w:w="3436" w:type="dxa"/>
            <w:tcBorders>
              <w:top w:val="single" w:sz="4" w:space="0" w:color="000000"/>
              <w:left w:val="single" w:sz="4" w:space="0" w:color="000000"/>
              <w:bottom w:val="single" w:sz="8" w:space="0" w:color="000000"/>
              <w:right w:val="single" w:sz="4" w:space="0" w:color="000000"/>
            </w:tcBorders>
            <w:hideMark/>
          </w:tcPr>
          <w:p w:rsidR="00B052A2" w:rsidRPr="00B052A2" w:rsidRDefault="00B052A2" w:rsidP="00B052A2">
            <w:pPr>
              <w:spacing w:line="252" w:lineRule="exact"/>
              <w:ind w:left="102"/>
              <w:jc w:val="left"/>
              <w:rPr>
                <w:rFonts w:eastAsia="Arial" w:cs="Tahoma"/>
                <w:sz w:val="20"/>
                <w:szCs w:val="20"/>
                <w:lang w:val="fr-FR"/>
              </w:rPr>
            </w:pPr>
            <w:r w:rsidRPr="00B052A2">
              <w:rPr>
                <w:rFonts w:eastAsia="Arial" w:cs="Tahoma"/>
                <w:sz w:val="20"/>
                <w:szCs w:val="20"/>
                <w:lang w:val="fr-FR"/>
              </w:rPr>
              <w:t xml:space="preserve">RSA et autres minima </w:t>
            </w:r>
            <w:r w:rsidRPr="00B052A2">
              <w:rPr>
                <w:rFonts w:eastAsia="Arial" w:cs="Tahoma"/>
                <w:sz w:val="20"/>
                <w:szCs w:val="20"/>
                <w:lang w:val="fr-FR"/>
              </w:rPr>
              <w:t>s</w:t>
            </w:r>
            <w:r w:rsidRPr="00B052A2">
              <w:rPr>
                <w:rFonts w:eastAsia="Arial" w:cs="Tahoma"/>
                <w:sz w:val="20"/>
                <w:szCs w:val="20"/>
                <w:lang w:val="fr-FR"/>
              </w:rPr>
              <w:t>ociaux</w:t>
            </w:r>
          </w:p>
        </w:tc>
        <w:tc>
          <w:tcPr>
            <w:tcW w:w="2769" w:type="dxa"/>
            <w:tcBorders>
              <w:top w:val="single" w:sz="4" w:space="0" w:color="000000"/>
              <w:left w:val="single" w:sz="4" w:space="0" w:color="000000"/>
              <w:bottom w:val="single" w:sz="8" w:space="0" w:color="000000"/>
              <w:right w:val="single" w:sz="4" w:space="0" w:color="000000"/>
            </w:tcBorders>
            <w:vAlign w:val="center"/>
            <w:hideMark/>
          </w:tcPr>
          <w:p w:rsidR="00B052A2" w:rsidRPr="00B052A2" w:rsidRDefault="00B052A2" w:rsidP="00B052A2">
            <w:pPr>
              <w:spacing w:line="250" w:lineRule="exact"/>
              <w:ind w:right="1212"/>
              <w:jc w:val="right"/>
              <w:rPr>
                <w:rFonts w:eastAsia="Arial" w:cs="Tahoma"/>
                <w:sz w:val="20"/>
                <w:szCs w:val="20"/>
                <w:lang w:val="fr-FR"/>
              </w:rPr>
            </w:pPr>
            <w:r w:rsidRPr="00B052A2">
              <w:rPr>
                <w:rFonts w:eastAsia="Arial" w:cs="Tahoma"/>
                <w:sz w:val="20"/>
                <w:szCs w:val="20"/>
                <w:lang w:val="fr-FR"/>
              </w:rPr>
              <w:t>+ 217</w:t>
            </w:r>
          </w:p>
        </w:tc>
        <w:tc>
          <w:tcPr>
            <w:tcW w:w="3085" w:type="dxa"/>
            <w:tcBorders>
              <w:top w:val="single" w:sz="4" w:space="0" w:color="000000"/>
              <w:left w:val="single" w:sz="4" w:space="0" w:color="000000"/>
              <w:bottom w:val="single" w:sz="8" w:space="0" w:color="000000"/>
              <w:right w:val="single" w:sz="4" w:space="0" w:color="000000"/>
            </w:tcBorders>
            <w:vAlign w:val="center"/>
            <w:hideMark/>
          </w:tcPr>
          <w:p w:rsidR="00B052A2" w:rsidRPr="00B052A2" w:rsidRDefault="00B052A2" w:rsidP="00B052A2">
            <w:pPr>
              <w:spacing w:line="250" w:lineRule="exact"/>
              <w:ind w:left="123" w:right="1212"/>
              <w:jc w:val="right"/>
              <w:rPr>
                <w:rFonts w:eastAsia="Arial" w:cs="Tahoma"/>
                <w:sz w:val="20"/>
                <w:szCs w:val="20"/>
                <w:lang w:val="fr-FR"/>
              </w:rPr>
            </w:pPr>
            <w:r w:rsidRPr="00B052A2">
              <w:rPr>
                <w:rFonts w:eastAsia="Arial" w:cs="Tahoma"/>
                <w:sz w:val="20"/>
                <w:szCs w:val="20"/>
                <w:lang w:val="fr-FR"/>
              </w:rPr>
              <w:t>+ 4</w:t>
            </w:r>
          </w:p>
        </w:tc>
      </w:tr>
      <w:tr w:rsidR="00B052A2" w:rsidRPr="00B052A2" w:rsidTr="00B052A2">
        <w:trPr>
          <w:trHeight w:val="499"/>
        </w:trPr>
        <w:tc>
          <w:tcPr>
            <w:tcW w:w="3436" w:type="dxa"/>
            <w:tcBorders>
              <w:top w:val="single" w:sz="8" w:space="0" w:color="000000"/>
              <w:left w:val="single" w:sz="4" w:space="0" w:color="000000"/>
              <w:bottom w:val="single" w:sz="4" w:space="0" w:color="000000"/>
              <w:right w:val="single" w:sz="4" w:space="0" w:color="000000"/>
            </w:tcBorders>
            <w:hideMark/>
          </w:tcPr>
          <w:p w:rsidR="00B052A2" w:rsidRPr="00B052A2" w:rsidRDefault="00B052A2" w:rsidP="00B052A2">
            <w:pPr>
              <w:spacing w:line="247" w:lineRule="exact"/>
              <w:ind w:left="102"/>
              <w:jc w:val="left"/>
              <w:rPr>
                <w:rFonts w:eastAsia="Arial" w:cs="Tahoma"/>
                <w:b/>
                <w:sz w:val="20"/>
                <w:szCs w:val="20"/>
                <w:lang w:val="fr-FR"/>
              </w:rPr>
            </w:pPr>
            <w:r w:rsidRPr="00B052A2">
              <w:rPr>
                <w:rFonts w:eastAsia="Arial" w:cs="Tahoma"/>
                <w:b/>
                <w:sz w:val="20"/>
                <w:szCs w:val="20"/>
                <w:lang w:val="fr-FR"/>
              </w:rPr>
              <w:t>Revenu disponible après</w:t>
            </w:r>
            <w:r>
              <w:rPr>
                <w:rFonts w:eastAsia="Arial" w:cs="Tahoma"/>
                <w:b/>
                <w:sz w:val="20"/>
                <w:szCs w:val="20"/>
                <w:lang w:val="fr-FR"/>
              </w:rPr>
              <w:t xml:space="preserve"> </w:t>
            </w:r>
            <w:r w:rsidRPr="00B052A2">
              <w:rPr>
                <w:rFonts w:eastAsia="Arial" w:cs="Tahoma"/>
                <w:b/>
                <w:sz w:val="20"/>
                <w:szCs w:val="20"/>
                <w:lang w:val="fr-FR"/>
              </w:rPr>
              <w:t>redistribution</w:t>
            </w:r>
          </w:p>
        </w:tc>
        <w:tc>
          <w:tcPr>
            <w:tcW w:w="2769" w:type="dxa"/>
            <w:tcBorders>
              <w:top w:val="single" w:sz="8"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47" w:lineRule="exact"/>
              <w:ind w:left="124" w:right="1212"/>
              <w:jc w:val="right"/>
              <w:rPr>
                <w:rFonts w:eastAsia="Arial" w:cs="Tahoma"/>
                <w:b/>
                <w:sz w:val="20"/>
                <w:szCs w:val="20"/>
                <w:lang w:val="fr-FR"/>
              </w:rPr>
            </w:pPr>
            <w:r w:rsidRPr="00B052A2">
              <w:rPr>
                <w:rFonts w:eastAsia="Arial" w:cs="Tahoma"/>
                <w:b/>
                <w:sz w:val="20"/>
                <w:szCs w:val="20"/>
                <w:lang w:val="fr-FR"/>
              </w:rPr>
              <w:t>821</w:t>
            </w:r>
          </w:p>
        </w:tc>
        <w:tc>
          <w:tcPr>
            <w:tcW w:w="3085" w:type="dxa"/>
            <w:tcBorders>
              <w:top w:val="single" w:sz="8" w:space="0" w:color="000000"/>
              <w:left w:val="single" w:sz="4" w:space="0" w:color="000000"/>
              <w:bottom w:val="single" w:sz="4" w:space="0" w:color="000000"/>
              <w:right w:val="single" w:sz="4" w:space="0" w:color="000000"/>
            </w:tcBorders>
            <w:vAlign w:val="center"/>
            <w:hideMark/>
          </w:tcPr>
          <w:p w:rsidR="00B052A2" w:rsidRPr="00B052A2" w:rsidRDefault="00B052A2" w:rsidP="00B052A2">
            <w:pPr>
              <w:spacing w:line="247" w:lineRule="exact"/>
              <w:ind w:left="125" w:right="1212"/>
              <w:jc w:val="right"/>
              <w:rPr>
                <w:rFonts w:eastAsia="Arial" w:cs="Tahoma"/>
                <w:b/>
                <w:sz w:val="20"/>
                <w:szCs w:val="20"/>
                <w:lang w:val="fr-FR"/>
              </w:rPr>
            </w:pPr>
            <w:r w:rsidRPr="00B052A2">
              <w:rPr>
                <w:rFonts w:eastAsia="Arial" w:cs="Tahoma"/>
                <w:b/>
                <w:sz w:val="20"/>
                <w:szCs w:val="20"/>
                <w:lang w:val="fr-FR"/>
              </w:rPr>
              <w:t>4 666</w:t>
            </w:r>
          </w:p>
        </w:tc>
      </w:tr>
    </w:tbl>
    <w:p w:rsidR="00E8016F" w:rsidRPr="00B052A2" w:rsidRDefault="00E8016F" w:rsidP="00B052A2">
      <w:pPr>
        <w:jc w:val="right"/>
        <w:rPr>
          <w:bCs/>
        </w:rPr>
      </w:pPr>
      <w:r w:rsidRPr="00B052A2">
        <w:rPr>
          <w:bCs/>
        </w:rPr>
        <w:t>France métropolitaine. Montants mensuels pour une personne seule</w:t>
      </w:r>
    </w:p>
    <w:p w:rsidR="0071418A" w:rsidRPr="00A17ECC" w:rsidRDefault="00E8016F" w:rsidP="00A17ECC">
      <w:pPr>
        <w:jc w:val="right"/>
        <w:rPr>
          <w:b/>
          <w:i/>
          <w:iCs/>
        </w:rPr>
      </w:pPr>
      <w:r w:rsidRPr="00A17ECC">
        <w:rPr>
          <w:b/>
          <w:i/>
          <w:iCs/>
        </w:rPr>
        <w:t>Source : Insee – Données 2015 – Observatoire des inégalités.</w:t>
      </w:r>
    </w:p>
    <w:sectPr w:rsidR="0071418A" w:rsidRPr="00A17ECC" w:rsidSect="00957637">
      <w:footerReference w:type="default" r:id="rId8"/>
      <w:footerReference w:type="first" r:id="rId9"/>
      <w:type w:val="continuous"/>
      <w:pgSz w:w="11907" w:h="16839" w:code="9"/>
      <w:pgMar w:top="851" w:right="1275" w:bottom="720" w:left="1418"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597" w:rsidRDefault="00696597">
      <w:r>
        <w:separator/>
      </w:r>
    </w:p>
  </w:endnote>
  <w:endnote w:type="continuationSeparator" w:id="0">
    <w:p w:rsidR="00696597" w:rsidRDefault="006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4</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597" w:rsidRDefault="00696597">
      <w:r>
        <w:separator/>
      </w:r>
    </w:p>
  </w:footnote>
  <w:footnote w:type="continuationSeparator" w:id="0">
    <w:p w:rsidR="00696597" w:rsidRDefault="0069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8A7AEE"/>
    <w:multiLevelType w:val="hybridMultilevel"/>
    <w:tmpl w:val="9FB08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2"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7"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8"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1"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2"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30"/>
  </w:num>
  <w:num w:numId="3">
    <w:abstractNumId w:val="35"/>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8"/>
  </w:num>
  <w:num w:numId="8">
    <w:abstractNumId w:val="32"/>
  </w:num>
  <w:num w:numId="9">
    <w:abstractNumId w:val="29"/>
  </w:num>
  <w:num w:numId="10">
    <w:abstractNumId w:val="3"/>
  </w:num>
  <w:num w:numId="11">
    <w:abstractNumId w:val="38"/>
  </w:num>
  <w:num w:numId="12">
    <w:abstractNumId w:val="5"/>
  </w:num>
  <w:num w:numId="13">
    <w:abstractNumId w:val="34"/>
  </w:num>
  <w:num w:numId="14">
    <w:abstractNumId w:val="9"/>
  </w:num>
  <w:num w:numId="15">
    <w:abstractNumId w:val="2"/>
  </w:num>
  <w:num w:numId="16">
    <w:abstractNumId w:val="36"/>
  </w:num>
  <w:num w:numId="17">
    <w:abstractNumId w:val="12"/>
  </w:num>
  <w:num w:numId="18">
    <w:abstractNumId w:val="20"/>
  </w:num>
  <w:num w:numId="19">
    <w:abstractNumId w:val="23"/>
  </w:num>
  <w:num w:numId="20">
    <w:abstractNumId w:val="31"/>
  </w:num>
  <w:num w:numId="21">
    <w:abstractNumId w:val="31"/>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8"/>
  </w:num>
  <w:num w:numId="23">
    <w:abstractNumId w:val="1"/>
  </w:num>
  <w:num w:numId="24">
    <w:abstractNumId w:val="14"/>
  </w:num>
  <w:num w:numId="25">
    <w:abstractNumId w:val="19"/>
  </w:num>
  <w:num w:numId="26">
    <w:abstractNumId w:val="8"/>
  </w:num>
  <w:num w:numId="27">
    <w:abstractNumId w:val="26"/>
  </w:num>
  <w:num w:numId="28">
    <w:abstractNumId w:val="26"/>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1"/>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7"/>
  </w:num>
  <w:num w:numId="32">
    <w:abstractNumId w:val="13"/>
  </w:num>
  <w:num w:numId="33">
    <w:abstractNumId w:val="37"/>
  </w:num>
  <w:num w:numId="34">
    <w:abstractNumId w:val="10"/>
  </w:num>
  <w:num w:numId="35">
    <w:abstractNumId w:val="11"/>
  </w:num>
  <w:num w:numId="36">
    <w:abstractNumId w:val="15"/>
  </w:num>
  <w:num w:numId="37">
    <w:abstractNumId w:val="25"/>
  </w:num>
  <w:num w:numId="38">
    <w:abstractNumId w:val="1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4"/>
  </w:num>
  <w:num w:numId="44">
    <w:abstractNumId w:val="3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AF2"/>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747FE"/>
    <w:rsid w:val="00393FB8"/>
    <w:rsid w:val="00394DA8"/>
    <w:rsid w:val="00396B74"/>
    <w:rsid w:val="003C0544"/>
    <w:rsid w:val="003C06CC"/>
    <w:rsid w:val="003C323B"/>
    <w:rsid w:val="003D11EE"/>
    <w:rsid w:val="003D317C"/>
    <w:rsid w:val="003D445D"/>
    <w:rsid w:val="003D75F8"/>
    <w:rsid w:val="003F1E36"/>
    <w:rsid w:val="003F6D98"/>
    <w:rsid w:val="00405B8D"/>
    <w:rsid w:val="00406A8F"/>
    <w:rsid w:val="00413FB6"/>
    <w:rsid w:val="00434058"/>
    <w:rsid w:val="0043538C"/>
    <w:rsid w:val="00436230"/>
    <w:rsid w:val="004407D5"/>
    <w:rsid w:val="00460771"/>
    <w:rsid w:val="004651A0"/>
    <w:rsid w:val="00467E59"/>
    <w:rsid w:val="0047522B"/>
    <w:rsid w:val="00475BE4"/>
    <w:rsid w:val="00483B14"/>
    <w:rsid w:val="00485C2B"/>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5A9E"/>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0D97"/>
    <w:rsid w:val="006624C9"/>
    <w:rsid w:val="00665623"/>
    <w:rsid w:val="006705E7"/>
    <w:rsid w:val="00685EE9"/>
    <w:rsid w:val="00687087"/>
    <w:rsid w:val="00693449"/>
    <w:rsid w:val="00696597"/>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40FD6"/>
    <w:rsid w:val="0084238C"/>
    <w:rsid w:val="00843E1D"/>
    <w:rsid w:val="00845186"/>
    <w:rsid w:val="00854108"/>
    <w:rsid w:val="00855CB3"/>
    <w:rsid w:val="00871214"/>
    <w:rsid w:val="008734D5"/>
    <w:rsid w:val="00880EA0"/>
    <w:rsid w:val="008A38D6"/>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3652"/>
    <w:rsid w:val="008F41B3"/>
    <w:rsid w:val="008F529C"/>
    <w:rsid w:val="008F7F9E"/>
    <w:rsid w:val="009043AB"/>
    <w:rsid w:val="009071A1"/>
    <w:rsid w:val="00911713"/>
    <w:rsid w:val="0091613C"/>
    <w:rsid w:val="00923F61"/>
    <w:rsid w:val="009368C8"/>
    <w:rsid w:val="00936EE1"/>
    <w:rsid w:val="00946D56"/>
    <w:rsid w:val="009517D6"/>
    <w:rsid w:val="0095516B"/>
    <w:rsid w:val="00957637"/>
    <w:rsid w:val="00962441"/>
    <w:rsid w:val="00972C62"/>
    <w:rsid w:val="009A34EF"/>
    <w:rsid w:val="009A45BB"/>
    <w:rsid w:val="009A45F3"/>
    <w:rsid w:val="009B23B4"/>
    <w:rsid w:val="009B36F5"/>
    <w:rsid w:val="009B4741"/>
    <w:rsid w:val="009B4842"/>
    <w:rsid w:val="009B5A3D"/>
    <w:rsid w:val="009B6882"/>
    <w:rsid w:val="009C0B89"/>
    <w:rsid w:val="009D1D7F"/>
    <w:rsid w:val="009D2F18"/>
    <w:rsid w:val="009E21A2"/>
    <w:rsid w:val="009E4053"/>
    <w:rsid w:val="009F545F"/>
    <w:rsid w:val="009F650D"/>
    <w:rsid w:val="009F726C"/>
    <w:rsid w:val="009F7CF8"/>
    <w:rsid w:val="009F7DDF"/>
    <w:rsid w:val="00A00AE2"/>
    <w:rsid w:val="00A01C7E"/>
    <w:rsid w:val="00A0758E"/>
    <w:rsid w:val="00A076F6"/>
    <w:rsid w:val="00A112A5"/>
    <w:rsid w:val="00A17ECC"/>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E1AA5"/>
    <w:rsid w:val="00AF5FCB"/>
    <w:rsid w:val="00B0042D"/>
    <w:rsid w:val="00B033D8"/>
    <w:rsid w:val="00B052A2"/>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2C14"/>
    <w:rsid w:val="00B84A83"/>
    <w:rsid w:val="00B9075F"/>
    <w:rsid w:val="00B9282C"/>
    <w:rsid w:val="00B97167"/>
    <w:rsid w:val="00BA0C23"/>
    <w:rsid w:val="00BA219E"/>
    <w:rsid w:val="00BA712B"/>
    <w:rsid w:val="00BA7A6A"/>
    <w:rsid w:val="00BA7B99"/>
    <w:rsid w:val="00BB7D03"/>
    <w:rsid w:val="00BC1BB0"/>
    <w:rsid w:val="00BC464A"/>
    <w:rsid w:val="00BC7623"/>
    <w:rsid w:val="00BE4935"/>
    <w:rsid w:val="00C11496"/>
    <w:rsid w:val="00C17CF6"/>
    <w:rsid w:val="00C20E25"/>
    <w:rsid w:val="00C22ED8"/>
    <w:rsid w:val="00C26416"/>
    <w:rsid w:val="00C405E4"/>
    <w:rsid w:val="00C4327E"/>
    <w:rsid w:val="00C46BC4"/>
    <w:rsid w:val="00C538A0"/>
    <w:rsid w:val="00C56FC4"/>
    <w:rsid w:val="00C733C9"/>
    <w:rsid w:val="00C7512C"/>
    <w:rsid w:val="00C77538"/>
    <w:rsid w:val="00C8047B"/>
    <w:rsid w:val="00C81BCE"/>
    <w:rsid w:val="00C8459A"/>
    <w:rsid w:val="00C90051"/>
    <w:rsid w:val="00C93F9C"/>
    <w:rsid w:val="00C97AE3"/>
    <w:rsid w:val="00CA1243"/>
    <w:rsid w:val="00CA14D4"/>
    <w:rsid w:val="00CA2C6B"/>
    <w:rsid w:val="00CA7DF6"/>
    <w:rsid w:val="00CB08E2"/>
    <w:rsid w:val="00CB2D50"/>
    <w:rsid w:val="00CB6944"/>
    <w:rsid w:val="00CB725F"/>
    <w:rsid w:val="00CC15A8"/>
    <w:rsid w:val="00CC2282"/>
    <w:rsid w:val="00CC7ADC"/>
    <w:rsid w:val="00CD1331"/>
    <w:rsid w:val="00CF0694"/>
    <w:rsid w:val="00CF3838"/>
    <w:rsid w:val="00CF71F6"/>
    <w:rsid w:val="00D000DB"/>
    <w:rsid w:val="00D0120B"/>
    <w:rsid w:val="00D01AC8"/>
    <w:rsid w:val="00D15252"/>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52C4E"/>
    <w:rsid w:val="00E53460"/>
    <w:rsid w:val="00E6069B"/>
    <w:rsid w:val="00E61279"/>
    <w:rsid w:val="00E8016F"/>
    <w:rsid w:val="00E96C68"/>
    <w:rsid w:val="00E97AB4"/>
    <w:rsid w:val="00EC2E9E"/>
    <w:rsid w:val="00EC4477"/>
    <w:rsid w:val="00EC4B50"/>
    <w:rsid w:val="00ED5403"/>
    <w:rsid w:val="00EE220F"/>
    <w:rsid w:val="00EF0C35"/>
    <w:rsid w:val="00F01287"/>
    <w:rsid w:val="00F1128D"/>
    <w:rsid w:val="00F14424"/>
    <w:rsid w:val="00F158FE"/>
    <w:rsid w:val="00F25D41"/>
    <w:rsid w:val="00F27A30"/>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A7831"/>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763B5"/>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14"/>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B82C14"/>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B82C14"/>
    <w:pPr>
      <w:spacing w:line="525" w:lineRule="exact"/>
      <w:jc w:val="center"/>
    </w:pPr>
  </w:style>
  <w:style w:type="paragraph" w:customStyle="1" w:styleId="Style2">
    <w:name w:val="Style2"/>
    <w:basedOn w:val="Normal"/>
    <w:uiPriority w:val="99"/>
    <w:rsid w:val="00B82C14"/>
  </w:style>
  <w:style w:type="paragraph" w:customStyle="1" w:styleId="Style3">
    <w:name w:val="Style3"/>
    <w:basedOn w:val="Normal"/>
    <w:uiPriority w:val="99"/>
    <w:rsid w:val="00B82C14"/>
    <w:pPr>
      <w:spacing w:line="266" w:lineRule="exact"/>
    </w:pPr>
  </w:style>
  <w:style w:type="paragraph" w:customStyle="1" w:styleId="Style4">
    <w:name w:val="Style4"/>
    <w:basedOn w:val="Normal"/>
    <w:uiPriority w:val="99"/>
    <w:rsid w:val="00B82C14"/>
  </w:style>
  <w:style w:type="paragraph" w:customStyle="1" w:styleId="Style5">
    <w:name w:val="Style5"/>
    <w:basedOn w:val="Normal"/>
    <w:uiPriority w:val="99"/>
    <w:rsid w:val="00B82C14"/>
    <w:pPr>
      <w:spacing w:line="280" w:lineRule="exact"/>
    </w:pPr>
  </w:style>
  <w:style w:type="paragraph" w:customStyle="1" w:styleId="Style6">
    <w:name w:val="Style6"/>
    <w:basedOn w:val="Normal"/>
    <w:uiPriority w:val="99"/>
    <w:rsid w:val="00B82C14"/>
    <w:pPr>
      <w:spacing w:line="266" w:lineRule="exact"/>
      <w:ind w:firstLine="825"/>
    </w:pPr>
  </w:style>
  <w:style w:type="paragraph" w:customStyle="1" w:styleId="Style7">
    <w:name w:val="Style7"/>
    <w:basedOn w:val="Normal"/>
    <w:uiPriority w:val="99"/>
    <w:rsid w:val="00B82C14"/>
    <w:pPr>
      <w:spacing w:line="273" w:lineRule="exact"/>
    </w:pPr>
  </w:style>
  <w:style w:type="paragraph" w:customStyle="1" w:styleId="Style8">
    <w:name w:val="Style8"/>
    <w:basedOn w:val="Normal"/>
    <w:uiPriority w:val="99"/>
    <w:rsid w:val="00B82C14"/>
    <w:pPr>
      <w:spacing w:line="266" w:lineRule="exact"/>
      <w:ind w:hanging="482"/>
    </w:pPr>
  </w:style>
  <w:style w:type="paragraph" w:customStyle="1" w:styleId="Style9">
    <w:name w:val="Style9"/>
    <w:basedOn w:val="Normal"/>
    <w:uiPriority w:val="99"/>
    <w:rsid w:val="00B82C14"/>
    <w:pPr>
      <w:spacing w:line="269" w:lineRule="exact"/>
      <w:ind w:firstLine="370"/>
    </w:pPr>
  </w:style>
  <w:style w:type="paragraph" w:customStyle="1" w:styleId="Style10">
    <w:name w:val="Style10"/>
    <w:basedOn w:val="Normal"/>
    <w:uiPriority w:val="99"/>
    <w:rsid w:val="00B82C14"/>
  </w:style>
  <w:style w:type="paragraph" w:customStyle="1" w:styleId="Style11">
    <w:name w:val="Style11"/>
    <w:basedOn w:val="Normal"/>
    <w:uiPriority w:val="99"/>
    <w:rsid w:val="00B82C14"/>
  </w:style>
  <w:style w:type="paragraph" w:customStyle="1" w:styleId="Style12">
    <w:name w:val="Style12"/>
    <w:basedOn w:val="Normal"/>
    <w:uiPriority w:val="99"/>
    <w:rsid w:val="00B82C14"/>
  </w:style>
  <w:style w:type="character" w:customStyle="1" w:styleId="FontStyle14">
    <w:name w:val="Font Style14"/>
    <w:uiPriority w:val="99"/>
    <w:rsid w:val="00B82C14"/>
    <w:rPr>
      <w:rFonts w:ascii="Arial" w:hAnsi="Arial" w:cs="Arial"/>
      <w:sz w:val="20"/>
      <w:szCs w:val="20"/>
    </w:rPr>
  </w:style>
  <w:style w:type="character" w:customStyle="1" w:styleId="FontStyle15">
    <w:name w:val="Font Style15"/>
    <w:uiPriority w:val="99"/>
    <w:rsid w:val="00B82C14"/>
    <w:rPr>
      <w:rFonts w:ascii="Arial" w:hAnsi="Arial" w:cs="Arial"/>
      <w:b/>
      <w:bCs/>
      <w:sz w:val="20"/>
      <w:szCs w:val="20"/>
    </w:rPr>
  </w:style>
  <w:style w:type="character" w:customStyle="1" w:styleId="FontStyle16">
    <w:name w:val="Font Style16"/>
    <w:uiPriority w:val="99"/>
    <w:rsid w:val="00B82C14"/>
    <w:rPr>
      <w:rFonts w:ascii="Arial" w:hAnsi="Arial" w:cs="Arial"/>
      <w:sz w:val="26"/>
      <w:szCs w:val="26"/>
    </w:rPr>
  </w:style>
  <w:style w:type="character" w:customStyle="1" w:styleId="FontStyle17">
    <w:name w:val="Font Style17"/>
    <w:uiPriority w:val="99"/>
    <w:rsid w:val="00B82C14"/>
    <w:rPr>
      <w:rFonts w:ascii="Arial" w:hAnsi="Arial" w:cs="Arial"/>
      <w:b/>
      <w:bCs/>
      <w:sz w:val="18"/>
      <w:szCs w:val="18"/>
    </w:rPr>
  </w:style>
  <w:style w:type="character" w:customStyle="1" w:styleId="FontStyle18">
    <w:name w:val="Font Style18"/>
    <w:uiPriority w:val="99"/>
    <w:rsid w:val="00B82C14"/>
    <w:rPr>
      <w:rFonts w:ascii="Arial" w:hAnsi="Arial" w:cs="Arial"/>
      <w:sz w:val="18"/>
      <w:szCs w:val="18"/>
    </w:rPr>
  </w:style>
  <w:style w:type="character" w:customStyle="1" w:styleId="FontStyle19">
    <w:name w:val="Font Style19"/>
    <w:uiPriority w:val="99"/>
    <w:rsid w:val="00B82C14"/>
    <w:rPr>
      <w:rFonts w:ascii="Arial" w:hAnsi="Arial" w:cs="Arial"/>
      <w:sz w:val="16"/>
      <w:szCs w:val="16"/>
    </w:rPr>
  </w:style>
  <w:style w:type="paragraph" w:styleId="Sansinterligne">
    <w:name w:val="No Spacing"/>
    <w:link w:val="SansinterligneCar"/>
    <w:uiPriority w:val="1"/>
    <w:rsid w:val="00B82C14"/>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B82C14"/>
    <w:pPr>
      <w:tabs>
        <w:tab w:val="center" w:pos="4536"/>
        <w:tab w:val="right" w:pos="9072"/>
      </w:tabs>
    </w:pPr>
  </w:style>
  <w:style w:type="character" w:customStyle="1" w:styleId="En-tteCar">
    <w:name w:val="En-tête Car"/>
    <w:link w:val="En-tte"/>
    <w:uiPriority w:val="99"/>
    <w:rsid w:val="00B82C14"/>
    <w:rPr>
      <w:rFonts w:ascii="Tahoma" w:eastAsia="Times New Roman" w:hAnsi="Tahoma" w:cs="Calibri"/>
      <w:szCs w:val="24"/>
    </w:rPr>
  </w:style>
  <w:style w:type="paragraph" w:styleId="Pieddepage">
    <w:name w:val="footer"/>
    <w:basedOn w:val="Normal"/>
    <w:link w:val="PieddepageCar"/>
    <w:uiPriority w:val="99"/>
    <w:unhideWhenUsed/>
    <w:rsid w:val="00B82C14"/>
    <w:pPr>
      <w:tabs>
        <w:tab w:val="center" w:pos="4536"/>
        <w:tab w:val="right" w:pos="9072"/>
      </w:tabs>
    </w:pPr>
  </w:style>
  <w:style w:type="character" w:customStyle="1" w:styleId="PieddepageCar">
    <w:name w:val="Pied de page Car"/>
    <w:link w:val="Pieddepage"/>
    <w:uiPriority w:val="99"/>
    <w:rsid w:val="00B82C14"/>
    <w:rPr>
      <w:rFonts w:ascii="Tahoma" w:eastAsia="Times New Roman" w:hAnsi="Tahoma" w:cs="Calibri"/>
      <w:szCs w:val="24"/>
    </w:rPr>
  </w:style>
  <w:style w:type="character" w:customStyle="1" w:styleId="Titre2Car">
    <w:name w:val="Titre 2 Car"/>
    <w:link w:val="Titre2"/>
    <w:rsid w:val="00B82C14"/>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B82C14"/>
    <w:rPr>
      <w:rFonts w:ascii="Times New Roman" w:eastAsia="Times New Roman" w:hAnsi="Times New Roman" w:cs="Calibri"/>
      <w:sz w:val="24"/>
      <w:szCs w:val="24"/>
    </w:rPr>
  </w:style>
  <w:style w:type="paragraph" w:styleId="Paragraphedeliste">
    <w:name w:val="List Paragraph"/>
    <w:basedOn w:val="Normal"/>
    <w:uiPriority w:val="34"/>
    <w:rsid w:val="00B82C14"/>
    <w:pPr>
      <w:ind w:left="708"/>
    </w:pPr>
  </w:style>
  <w:style w:type="paragraph" w:customStyle="1" w:styleId="Questions">
    <w:name w:val="Questions"/>
    <w:basedOn w:val="Normal"/>
    <w:link w:val="QuestionsCar"/>
    <w:autoRedefine/>
    <w:qFormat/>
    <w:rsid w:val="00B82C14"/>
    <w:pPr>
      <w:numPr>
        <w:numId w:val="5"/>
      </w:numPr>
      <w:tabs>
        <w:tab w:val="left" w:pos="412"/>
      </w:tabs>
      <w:spacing w:before="5"/>
    </w:pPr>
    <w:rPr>
      <w:rFonts w:cs="Tahoma"/>
      <w:b/>
      <w:sz w:val="24"/>
    </w:rPr>
  </w:style>
  <w:style w:type="character" w:customStyle="1" w:styleId="QuestionsCar">
    <w:name w:val="Questions Car"/>
    <w:link w:val="Questions"/>
    <w:rsid w:val="00B82C14"/>
    <w:rPr>
      <w:rFonts w:ascii="Tahoma" w:eastAsia="Times New Roman" w:hAnsi="Tahoma" w:cs="Tahoma"/>
      <w:b/>
      <w:sz w:val="24"/>
      <w:szCs w:val="24"/>
    </w:rPr>
  </w:style>
  <w:style w:type="paragraph" w:customStyle="1" w:styleId="TAF">
    <w:name w:val="TAF"/>
    <w:basedOn w:val="Sansinterligne"/>
    <w:link w:val="TAFCar"/>
    <w:qFormat/>
    <w:rsid w:val="00B82C14"/>
    <w:pPr>
      <w:jc w:val="center"/>
    </w:pPr>
    <w:rPr>
      <w:rFonts w:ascii="Tahoma" w:hAnsi="Tahoma" w:cs="Tahoma"/>
      <w:b/>
      <w:sz w:val="20"/>
      <w:szCs w:val="20"/>
      <w:u w:val="single"/>
    </w:rPr>
  </w:style>
  <w:style w:type="character" w:customStyle="1" w:styleId="TAFCar">
    <w:name w:val="TAF Car"/>
    <w:link w:val="TAF"/>
    <w:rsid w:val="00B82C14"/>
    <w:rPr>
      <w:rFonts w:ascii="Tahoma" w:eastAsia="Times New Roman" w:hAnsi="Tahoma" w:cs="Tahoma"/>
      <w:b/>
      <w:u w:val="single"/>
    </w:rPr>
  </w:style>
  <w:style w:type="paragraph" w:customStyle="1" w:styleId="Lettres">
    <w:name w:val="Lettres"/>
    <w:basedOn w:val="Normal"/>
    <w:link w:val="LettresCar"/>
    <w:qFormat/>
    <w:rsid w:val="00B82C14"/>
    <w:pPr>
      <w:numPr>
        <w:numId w:val="1"/>
      </w:numPr>
      <w:spacing w:after="60"/>
    </w:pPr>
    <w:rPr>
      <w:b/>
      <w:sz w:val="24"/>
    </w:rPr>
  </w:style>
  <w:style w:type="character" w:customStyle="1" w:styleId="LettresCar">
    <w:name w:val="Lettres Car"/>
    <w:link w:val="Lettres"/>
    <w:rsid w:val="00B82C14"/>
    <w:rPr>
      <w:rFonts w:ascii="Tahoma" w:eastAsia="Times New Roman" w:hAnsi="Tahoma" w:cs="Calibri"/>
      <w:b/>
      <w:sz w:val="24"/>
      <w:szCs w:val="24"/>
    </w:rPr>
  </w:style>
  <w:style w:type="paragraph" w:styleId="Titre">
    <w:name w:val="Title"/>
    <w:basedOn w:val="Normal"/>
    <w:next w:val="Normal"/>
    <w:link w:val="TitreCar"/>
    <w:uiPriority w:val="10"/>
    <w:qFormat/>
    <w:rsid w:val="00B82C14"/>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B82C14"/>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B82C14"/>
    <w:pPr>
      <w:spacing w:after="60"/>
      <w:jc w:val="center"/>
      <w:outlineLvl w:val="1"/>
    </w:pPr>
    <w:rPr>
      <w:rFonts w:ascii="Cambria" w:hAnsi="Cambria"/>
    </w:rPr>
  </w:style>
  <w:style w:type="character" w:customStyle="1" w:styleId="Sous-titreCar">
    <w:name w:val="Sous-titre Car"/>
    <w:link w:val="Sous-titre"/>
    <w:uiPriority w:val="11"/>
    <w:rsid w:val="00B82C14"/>
    <w:rPr>
      <w:rFonts w:ascii="Cambria" w:eastAsia="Times New Roman" w:hAnsi="Cambria" w:cs="Calibri"/>
      <w:szCs w:val="24"/>
    </w:rPr>
  </w:style>
  <w:style w:type="table" w:styleId="Grilledutableau">
    <w:name w:val="Table Grid"/>
    <w:basedOn w:val="TableauNormal"/>
    <w:uiPriority w:val="59"/>
    <w:rsid w:val="00B82C1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B82C14"/>
    <w:rPr>
      <w:rFonts w:ascii="Times New Roman" w:hAnsi="Times New Roman" w:cs="Times New Roman"/>
      <w:b/>
      <w:bCs/>
      <w:sz w:val="20"/>
      <w:szCs w:val="20"/>
    </w:rPr>
  </w:style>
  <w:style w:type="paragraph" w:customStyle="1" w:styleId="Style14">
    <w:name w:val="Style14"/>
    <w:basedOn w:val="Normal"/>
    <w:link w:val="Style14Car"/>
    <w:uiPriority w:val="99"/>
    <w:rsid w:val="00B82C14"/>
    <w:pPr>
      <w:spacing w:line="252" w:lineRule="exact"/>
      <w:ind w:hanging="405"/>
    </w:pPr>
  </w:style>
  <w:style w:type="character" w:customStyle="1" w:styleId="FontStyle21">
    <w:name w:val="Font Style21"/>
    <w:uiPriority w:val="99"/>
    <w:rsid w:val="00B82C14"/>
    <w:rPr>
      <w:rFonts w:ascii="Book Antiqua" w:hAnsi="Book Antiqua" w:cs="Book Antiqua"/>
      <w:spacing w:val="20"/>
      <w:sz w:val="20"/>
      <w:szCs w:val="20"/>
    </w:rPr>
  </w:style>
  <w:style w:type="character" w:customStyle="1" w:styleId="FontStyle22">
    <w:name w:val="Font Style22"/>
    <w:uiPriority w:val="99"/>
    <w:rsid w:val="00B82C14"/>
    <w:rPr>
      <w:rFonts w:ascii="Arial" w:hAnsi="Arial" w:cs="Arial"/>
      <w:b/>
      <w:bCs/>
      <w:spacing w:val="20"/>
      <w:sz w:val="18"/>
      <w:szCs w:val="18"/>
    </w:rPr>
  </w:style>
  <w:style w:type="character" w:customStyle="1" w:styleId="FontStyle13">
    <w:name w:val="Font Style13"/>
    <w:uiPriority w:val="99"/>
    <w:rsid w:val="00B82C14"/>
    <w:rPr>
      <w:rFonts w:ascii="Arial Unicode MS" w:eastAsia="Arial Unicode MS" w:cs="Arial Unicode MS"/>
      <w:sz w:val="20"/>
      <w:szCs w:val="20"/>
    </w:rPr>
  </w:style>
  <w:style w:type="character" w:customStyle="1" w:styleId="FontStyle12">
    <w:name w:val="Font Style12"/>
    <w:uiPriority w:val="99"/>
    <w:rsid w:val="00B82C14"/>
    <w:rPr>
      <w:rFonts w:ascii="Arial Unicode MS" w:eastAsia="Arial Unicode MS" w:cs="Arial Unicode MS"/>
      <w:b/>
      <w:bCs/>
      <w:sz w:val="20"/>
      <w:szCs w:val="20"/>
    </w:rPr>
  </w:style>
  <w:style w:type="character" w:customStyle="1" w:styleId="FontStyle23">
    <w:name w:val="Font Style23"/>
    <w:uiPriority w:val="99"/>
    <w:rsid w:val="00B82C14"/>
    <w:rPr>
      <w:rFonts w:ascii="Times New Roman" w:hAnsi="Times New Roman" w:cs="Times New Roman"/>
      <w:sz w:val="20"/>
      <w:szCs w:val="20"/>
    </w:rPr>
  </w:style>
  <w:style w:type="character" w:customStyle="1" w:styleId="FontStyle24">
    <w:name w:val="Font Style24"/>
    <w:uiPriority w:val="99"/>
    <w:rsid w:val="00B82C14"/>
    <w:rPr>
      <w:rFonts w:ascii="Tahoma" w:hAnsi="Tahoma" w:cs="Tahoma"/>
      <w:b/>
      <w:bCs/>
      <w:sz w:val="22"/>
      <w:szCs w:val="22"/>
    </w:rPr>
  </w:style>
  <w:style w:type="character" w:customStyle="1" w:styleId="FontStyle25">
    <w:name w:val="Font Style25"/>
    <w:uiPriority w:val="99"/>
    <w:rsid w:val="00B82C14"/>
    <w:rPr>
      <w:rFonts w:ascii="Times New Roman" w:hAnsi="Times New Roman" w:cs="Times New Roman"/>
      <w:b/>
      <w:bCs/>
      <w:i/>
      <w:iCs/>
      <w:sz w:val="20"/>
      <w:szCs w:val="20"/>
    </w:rPr>
  </w:style>
  <w:style w:type="paragraph" w:customStyle="1" w:styleId="Style13">
    <w:name w:val="Style13"/>
    <w:basedOn w:val="Normal"/>
    <w:uiPriority w:val="99"/>
    <w:rsid w:val="00B82C14"/>
  </w:style>
  <w:style w:type="character" w:customStyle="1" w:styleId="FontStyle26">
    <w:name w:val="Font Style26"/>
    <w:uiPriority w:val="99"/>
    <w:rsid w:val="00B82C14"/>
    <w:rPr>
      <w:rFonts w:ascii="Times New Roman" w:hAnsi="Times New Roman" w:cs="Times New Roman"/>
      <w:i/>
      <w:iCs/>
      <w:sz w:val="20"/>
      <w:szCs w:val="20"/>
    </w:rPr>
  </w:style>
  <w:style w:type="paragraph" w:customStyle="1" w:styleId="AnneSujet">
    <w:name w:val="AnnéeSujet"/>
    <w:basedOn w:val="Titre"/>
    <w:link w:val="AnneSujetCar"/>
    <w:qFormat/>
    <w:rsid w:val="00B82C14"/>
    <w:rPr>
      <w:rFonts w:ascii="Tahoma" w:hAnsi="Tahoma" w:cs="Tahoma"/>
      <w:b/>
      <w:sz w:val="36"/>
      <w:szCs w:val="36"/>
    </w:rPr>
  </w:style>
  <w:style w:type="paragraph" w:customStyle="1" w:styleId="Dossier">
    <w:name w:val="Dossier"/>
    <w:basedOn w:val="Normal"/>
    <w:autoRedefine/>
    <w:uiPriority w:val="99"/>
    <w:rsid w:val="00B82C14"/>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B82C14"/>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B82C14"/>
  </w:style>
  <w:style w:type="paragraph" w:customStyle="1" w:styleId="Style16">
    <w:name w:val="Style16"/>
    <w:basedOn w:val="Normal"/>
    <w:uiPriority w:val="99"/>
    <w:rsid w:val="00B82C14"/>
    <w:pPr>
      <w:spacing w:line="273" w:lineRule="exact"/>
      <w:ind w:hanging="412"/>
    </w:pPr>
  </w:style>
  <w:style w:type="paragraph" w:customStyle="1" w:styleId="Style17">
    <w:name w:val="Style17"/>
    <w:basedOn w:val="Normal"/>
    <w:uiPriority w:val="99"/>
    <w:rsid w:val="00B82C14"/>
    <w:pPr>
      <w:spacing w:line="280" w:lineRule="exact"/>
      <w:jc w:val="center"/>
    </w:pPr>
  </w:style>
  <w:style w:type="character" w:customStyle="1" w:styleId="FontStyle27">
    <w:name w:val="Font Style27"/>
    <w:uiPriority w:val="99"/>
    <w:rsid w:val="00B82C14"/>
    <w:rPr>
      <w:rFonts w:ascii="Arial" w:hAnsi="Arial" w:cs="Arial"/>
      <w:b/>
      <w:bCs/>
      <w:sz w:val="20"/>
      <w:szCs w:val="20"/>
    </w:rPr>
  </w:style>
  <w:style w:type="paragraph" w:customStyle="1" w:styleId="Style18">
    <w:name w:val="Style18"/>
    <w:basedOn w:val="Normal"/>
    <w:uiPriority w:val="99"/>
    <w:rsid w:val="00B82C14"/>
  </w:style>
  <w:style w:type="character" w:customStyle="1" w:styleId="FontStyle29">
    <w:name w:val="Font Style29"/>
    <w:uiPriority w:val="99"/>
    <w:rsid w:val="00B82C14"/>
    <w:rPr>
      <w:rFonts w:ascii="Times New Roman" w:hAnsi="Times New Roman" w:cs="Times New Roman"/>
      <w:b/>
      <w:bCs/>
      <w:sz w:val="22"/>
      <w:szCs w:val="22"/>
    </w:rPr>
  </w:style>
  <w:style w:type="paragraph" w:customStyle="1" w:styleId="Question">
    <w:name w:val="Question"/>
    <w:basedOn w:val="Style14"/>
    <w:link w:val="QuestionCar1"/>
    <w:rsid w:val="00B82C14"/>
    <w:pPr>
      <w:tabs>
        <w:tab w:val="left" w:pos="412"/>
      </w:tabs>
      <w:spacing w:before="5" w:line="240" w:lineRule="auto"/>
      <w:ind w:left="714" w:hanging="357"/>
    </w:pPr>
    <w:rPr>
      <w:rFonts w:cs="Tahoma"/>
    </w:rPr>
  </w:style>
  <w:style w:type="character" w:customStyle="1" w:styleId="Style14Car">
    <w:name w:val="Style14 Car"/>
    <w:link w:val="Style14"/>
    <w:uiPriority w:val="99"/>
    <w:rsid w:val="00B82C14"/>
    <w:rPr>
      <w:rFonts w:ascii="Tahoma" w:eastAsia="Times New Roman" w:hAnsi="Tahoma" w:cs="Calibri"/>
      <w:szCs w:val="24"/>
    </w:rPr>
  </w:style>
  <w:style w:type="character" w:customStyle="1" w:styleId="QuestionCar">
    <w:name w:val="Question Car"/>
    <w:rsid w:val="00B82C14"/>
    <w:rPr>
      <w:rFonts w:ascii="Times New Roman" w:eastAsia="Times New Roman" w:hAnsi="Times New Roman"/>
      <w:sz w:val="24"/>
      <w:szCs w:val="24"/>
    </w:rPr>
  </w:style>
  <w:style w:type="character" w:customStyle="1" w:styleId="QuestionCar1">
    <w:name w:val="Question Car1"/>
    <w:link w:val="Question"/>
    <w:rsid w:val="00B82C14"/>
    <w:rPr>
      <w:rFonts w:ascii="Tahoma" w:eastAsia="Times New Roman" w:hAnsi="Tahoma" w:cs="Tahoma"/>
      <w:szCs w:val="24"/>
    </w:rPr>
  </w:style>
  <w:style w:type="paragraph" w:customStyle="1" w:styleId="Partie">
    <w:name w:val="Partie"/>
    <w:basedOn w:val="Normal"/>
    <w:link w:val="PartieCar"/>
    <w:qFormat/>
    <w:rsid w:val="00B82C14"/>
    <w:rPr>
      <w:rFonts w:cs="Tahoma"/>
      <w:b/>
      <w:sz w:val="24"/>
      <w:u w:val="single"/>
    </w:rPr>
  </w:style>
  <w:style w:type="character" w:customStyle="1" w:styleId="PartieCar">
    <w:name w:val="Partie Car"/>
    <w:link w:val="Partie"/>
    <w:rsid w:val="00B82C14"/>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B82C14"/>
    <w:pPr>
      <w:numPr>
        <w:numId w:val="3"/>
      </w:numPr>
      <w:spacing w:after="202" w:line="276" w:lineRule="auto"/>
    </w:pPr>
    <w:rPr>
      <w:rFonts w:cs="Tahoma"/>
      <w:color w:val="000000"/>
      <w:szCs w:val="20"/>
    </w:rPr>
  </w:style>
  <w:style w:type="character" w:customStyle="1" w:styleId="QuestionsManaCar">
    <w:name w:val="QuestionsMana Car"/>
    <w:link w:val="QuestionsMana"/>
    <w:locked/>
    <w:rsid w:val="00B82C14"/>
    <w:rPr>
      <w:rFonts w:ascii="Tahoma" w:eastAsia="Times New Roman" w:hAnsi="Tahoma" w:cs="Tahoma"/>
      <w:color w:val="000000"/>
    </w:rPr>
  </w:style>
  <w:style w:type="paragraph" w:customStyle="1" w:styleId="AnnexeMana">
    <w:name w:val="AnnexeMana"/>
    <w:basedOn w:val="Normal"/>
    <w:link w:val="AnnexeManaCar"/>
    <w:qFormat/>
    <w:rsid w:val="00B82C14"/>
    <w:pPr>
      <w:spacing w:line="276" w:lineRule="auto"/>
    </w:pPr>
    <w:rPr>
      <w:rFonts w:cs="Tahoma"/>
      <w:b/>
      <w:bCs/>
      <w:color w:val="000000"/>
      <w:sz w:val="22"/>
      <w:szCs w:val="20"/>
      <w:u w:val="single"/>
    </w:rPr>
  </w:style>
  <w:style w:type="character" w:customStyle="1" w:styleId="AnnexeManaCar">
    <w:name w:val="AnnexeMana Car"/>
    <w:link w:val="AnnexeMana"/>
    <w:locked/>
    <w:rsid w:val="00B82C14"/>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table" w:customStyle="1" w:styleId="TableNormal1">
    <w:name w:val="Table Normal1"/>
    <w:uiPriority w:val="2"/>
    <w:semiHidden/>
    <w:qFormat/>
    <w:rsid w:val="00B052A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6436">
      <w:bodyDiv w:val="1"/>
      <w:marLeft w:val="0"/>
      <w:marRight w:val="0"/>
      <w:marTop w:val="0"/>
      <w:marBottom w:val="0"/>
      <w:divBdr>
        <w:top w:val="none" w:sz="0" w:space="0" w:color="auto"/>
        <w:left w:val="none" w:sz="0" w:space="0" w:color="auto"/>
        <w:bottom w:val="none" w:sz="0" w:space="0" w:color="auto"/>
        <w:right w:val="none" w:sz="0" w:space="0" w:color="auto"/>
      </w:divBdr>
    </w:div>
    <w:div w:id="1794324873">
      <w:bodyDiv w:val="1"/>
      <w:marLeft w:val="0"/>
      <w:marRight w:val="0"/>
      <w:marTop w:val="0"/>
      <w:marBottom w:val="0"/>
      <w:divBdr>
        <w:top w:val="none" w:sz="0" w:space="0" w:color="auto"/>
        <w:left w:val="none" w:sz="0" w:space="0" w:color="auto"/>
        <w:bottom w:val="none" w:sz="0" w:space="0" w:color="auto"/>
        <w:right w:val="none" w:sz="0" w:space="0" w:color="auto"/>
      </w:divBdr>
    </w:div>
    <w:div w:id="18213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8B65-D627-46D0-9C35-F003CF68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1</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dc:description/>
  <cp:lastModifiedBy>www.stmg.education</cp:lastModifiedBy>
  <cp:revision>7</cp:revision>
  <dcterms:created xsi:type="dcterms:W3CDTF">2019-11-09T02:31:00Z</dcterms:created>
  <dcterms:modified xsi:type="dcterms:W3CDTF">2019-11-09T03:15:00Z</dcterms:modified>
</cp:coreProperties>
</file>