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C3096E">
        <w:rPr>
          <w:rFonts w:ascii="Tahoma" w:hAnsi="Tahoma" w:cs="Tahoma"/>
          <w:b/>
          <w:sz w:val="30"/>
          <w:szCs w:val="30"/>
        </w:rPr>
        <w:t>8</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C3096E">
        <w:rPr>
          <w:rFonts w:ascii="Tahoma" w:hAnsi="Tahoma" w:cs="Tahoma"/>
          <w:b/>
          <w:sz w:val="30"/>
          <w:szCs w:val="30"/>
        </w:rPr>
        <w:t>Métropole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C3096E" w:rsidRDefault="00F61588" w:rsidP="00F61588">
      <w:pPr>
        <w:rPr>
          <w:rStyle w:val="FontStyle15"/>
          <w:rFonts w:ascii="Tahoma" w:hAnsi="Tahoma" w:cs="Tahoma"/>
          <w:bCs w:val="0"/>
          <w:sz w:val="22"/>
          <w:szCs w:val="22"/>
        </w:rPr>
      </w:pPr>
      <w:r w:rsidRPr="00C3096E">
        <w:rPr>
          <w:rStyle w:val="FontStyle15"/>
          <w:rFonts w:ascii="Tahoma" w:hAnsi="Tahoma" w:cs="Tahoma"/>
          <w:bCs w:val="0"/>
          <w:sz w:val="22"/>
          <w:szCs w:val="22"/>
        </w:rPr>
        <w:t xml:space="preserve">À </w:t>
      </w:r>
      <w:r w:rsidR="009D2F18" w:rsidRPr="00C3096E">
        <w:rPr>
          <w:rStyle w:val="FontStyle15"/>
          <w:rFonts w:ascii="Tahoma" w:hAnsi="Tahoma" w:cs="Tahoma"/>
          <w:bCs w:val="0"/>
          <w:sz w:val="22"/>
          <w:szCs w:val="22"/>
        </w:rPr>
        <w:t>partir</w:t>
      </w:r>
      <w:r w:rsidRPr="00C3096E">
        <w:rPr>
          <w:rStyle w:val="FontStyle15"/>
          <w:rFonts w:ascii="Tahoma" w:hAnsi="Tahoma" w:cs="Tahoma"/>
          <w:bCs w:val="0"/>
          <w:sz w:val="22"/>
          <w:szCs w:val="22"/>
        </w:rPr>
        <w:t xml:space="preserve"> de vos connaissances et </w:t>
      </w:r>
      <w:r w:rsidR="009D2F18" w:rsidRPr="00C3096E">
        <w:rPr>
          <w:rStyle w:val="FontStyle15"/>
          <w:rFonts w:ascii="Tahoma" w:hAnsi="Tahoma" w:cs="Tahoma"/>
          <w:bCs w:val="0"/>
          <w:sz w:val="22"/>
          <w:szCs w:val="22"/>
        </w:rPr>
        <w:t>de la documentation fournie en annexe :</w:t>
      </w:r>
    </w:p>
    <w:p w:rsidR="00F61588" w:rsidRPr="00C3096E" w:rsidRDefault="00F61588" w:rsidP="00F61588">
      <w:pPr>
        <w:rPr>
          <w:rStyle w:val="FontStyle15"/>
          <w:rFonts w:ascii="Tahoma" w:hAnsi="Tahoma" w:cs="Tahoma"/>
          <w:b w:val="0"/>
          <w:bCs w:val="0"/>
          <w:sz w:val="22"/>
          <w:szCs w:val="22"/>
        </w:rPr>
      </w:pPr>
    </w:p>
    <w:p w:rsidR="00326558" w:rsidRPr="00C3096E" w:rsidRDefault="00326558" w:rsidP="00326558">
      <w:pPr>
        <w:rPr>
          <w:rStyle w:val="FontStyle15"/>
          <w:rFonts w:ascii="Tahoma" w:hAnsi="Tahoma" w:cs="Tahoma"/>
          <w:b w:val="0"/>
          <w:bCs w:val="0"/>
          <w:sz w:val="22"/>
          <w:szCs w:val="22"/>
        </w:rPr>
      </w:pPr>
    </w:p>
    <w:p w:rsidR="00326558" w:rsidRPr="00C3096E" w:rsidRDefault="00326558" w:rsidP="00326558">
      <w:pPr>
        <w:rPr>
          <w:rStyle w:val="FontStyle15"/>
          <w:rFonts w:ascii="Tahoma" w:hAnsi="Tahoma" w:cs="Tahoma"/>
          <w:b w:val="0"/>
          <w:bCs w:val="0"/>
          <w:sz w:val="22"/>
          <w:szCs w:val="22"/>
        </w:rPr>
      </w:pPr>
    </w:p>
    <w:p w:rsidR="00115F59" w:rsidRPr="00C3096E" w:rsidRDefault="00115F59" w:rsidP="00C3096E">
      <w:pPr>
        <w:pStyle w:val="Sansinterligne"/>
        <w:spacing w:line="276" w:lineRule="auto"/>
        <w:ind w:left="426" w:hanging="426"/>
        <w:rPr>
          <w:rStyle w:val="FontStyle15"/>
          <w:rFonts w:ascii="Tahoma" w:hAnsi="Tahoma" w:cs="Tahoma"/>
          <w:bCs w:val="0"/>
          <w:sz w:val="22"/>
          <w:szCs w:val="22"/>
        </w:rPr>
      </w:pPr>
    </w:p>
    <w:p w:rsidR="00C3096E" w:rsidRPr="00C3096E" w:rsidRDefault="00C3096E" w:rsidP="00C3096E">
      <w:pPr>
        <w:pStyle w:val="Questions"/>
        <w:ind w:left="426" w:hanging="426"/>
        <w:rPr>
          <w:b w:val="0"/>
          <w:sz w:val="22"/>
          <w:szCs w:val="22"/>
        </w:rPr>
      </w:pPr>
      <w:r w:rsidRPr="00C3096E">
        <w:rPr>
          <w:b w:val="0"/>
          <w:sz w:val="22"/>
          <w:szCs w:val="22"/>
        </w:rPr>
        <w:t>Comparez</w:t>
      </w:r>
      <w:r w:rsidRPr="00C3096E">
        <w:rPr>
          <w:b w:val="0"/>
          <w:sz w:val="22"/>
          <w:szCs w:val="22"/>
        </w:rPr>
        <w:tab/>
        <w:t>l’évolution</w:t>
      </w:r>
      <w:r w:rsidRPr="00C3096E">
        <w:rPr>
          <w:b w:val="0"/>
          <w:sz w:val="22"/>
          <w:szCs w:val="22"/>
        </w:rPr>
        <w:t xml:space="preserve"> </w:t>
      </w:r>
      <w:r w:rsidRPr="00C3096E">
        <w:rPr>
          <w:b w:val="0"/>
          <w:sz w:val="22"/>
          <w:szCs w:val="22"/>
        </w:rPr>
        <w:t>du</w:t>
      </w:r>
      <w:r w:rsidRPr="00C3096E">
        <w:rPr>
          <w:b w:val="0"/>
          <w:sz w:val="22"/>
          <w:szCs w:val="22"/>
        </w:rPr>
        <w:t xml:space="preserve"> </w:t>
      </w:r>
      <w:r w:rsidRPr="00C3096E">
        <w:rPr>
          <w:b w:val="0"/>
          <w:sz w:val="22"/>
          <w:szCs w:val="22"/>
        </w:rPr>
        <w:t>chômage</w:t>
      </w:r>
      <w:r w:rsidRPr="00C3096E">
        <w:rPr>
          <w:b w:val="0"/>
          <w:sz w:val="22"/>
          <w:szCs w:val="22"/>
        </w:rPr>
        <w:t xml:space="preserve"> </w:t>
      </w:r>
      <w:r w:rsidRPr="00C3096E">
        <w:rPr>
          <w:b w:val="0"/>
          <w:sz w:val="22"/>
          <w:szCs w:val="22"/>
        </w:rPr>
        <w:t>en</w:t>
      </w:r>
      <w:r w:rsidRPr="00C3096E">
        <w:rPr>
          <w:b w:val="0"/>
          <w:sz w:val="22"/>
          <w:szCs w:val="22"/>
        </w:rPr>
        <w:t xml:space="preserve"> France </w:t>
      </w:r>
      <w:r w:rsidRPr="00C3096E">
        <w:rPr>
          <w:b w:val="0"/>
          <w:sz w:val="22"/>
          <w:szCs w:val="22"/>
        </w:rPr>
        <w:t>selon</w:t>
      </w:r>
      <w:r w:rsidRPr="00C3096E">
        <w:rPr>
          <w:b w:val="0"/>
          <w:sz w:val="22"/>
          <w:szCs w:val="22"/>
        </w:rPr>
        <w:t xml:space="preserve"> </w:t>
      </w:r>
      <w:r w:rsidRPr="00C3096E">
        <w:rPr>
          <w:b w:val="0"/>
          <w:sz w:val="22"/>
          <w:szCs w:val="22"/>
        </w:rPr>
        <w:t>la</w:t>
      </w:r>
      <w:r w:rsidRPr="00C3096E">
        <w:rPr>
          <w:b w:val="0"/>
          <w:sz w:val="22"/>
          <w:szCs w:val="22"/>
        </w:rPr>
        <w:t xml:space="preserve"> </w:t>
      </w:r>
      <w:r w:rsidRPr="00C3096E">
        <w:rPr>
          <w:b w:val="0"/>
          <w:sz w:val="22"/>
          <w:szCs w:val="22"/>
        </w:rPr>
        <w:t>catégorie socioprofessionnelle.</w:t>
      </w:r>
    </w:p>
    <w:p w:rsidR="00C3096E" w:rsidRPr="00C3096E" w:rsidRDefault="00C3096E" w:rsidP="00C3096E">
      <w:pPr>
        <w:pStyle w:val="Questions"/>
        <w:ind w:left="426" w:hanging="426"/>
        <w:rPr>
          <w:b w:val="0"/>
          <w:sz w:val="22"/>
          <w:szCs w:val="22"/>
        </w:rPr>
      </w:pPr>
      <w:r w:rsidRPr="00C3096E">
        <w:rPr>
          <w:b w:val="0"/>
          <w:sz w:val="22"/>
          <w:szCs w:val="22"/>
        </w:rPr>
        <w:t>Relevez les raisons du déclin des emplois peu qualifiés en France depuis une dizaine d’années.</w:t>
      </w:r>
    </w:p>
    <w:p w:rsidR="00DC4CD8" w:rsidRPr="00C3096E" w:rsidRDefault="00C3096E" w:rsidP="00C3096E">
      <w:pPr>
        <w:pStyle w:val="Questions"/>
        <w:ind w:left="426" w:hanging="426"/>
        <w:rPr>
          <w:b w:val="0"/>
          <w:sz w:val="22"/>
          <w:szCs w:val="22"/>
        </w:rPr>
      </w:pPr>
      <w:r w:rsidRPr="00C3096E">
        <w:rPr>
          <w:b w:val="0"/>
          <w:sz w:val="22"/>
          <w:szCs w:val="22"/>
        </w:rPr>
        <w:t>Montrez l’intérêt de la distinction entre secteurs « exposés » et secteurs « abrités » dans l’explication du chômage.</w:t>
      </w:r>
    </w:p>
    <w:p w:rsidR="00DC4CD8" w:rsidRPr="00C3096E" w:rsidRDefault="00DC4CD8" w:rsidP="00C3096E">
      <w:pPr>
        <w:pStyle w:val="Questions"/>
        <w:ind w:left="426" w:hanging="426"/>
        <w:rPr>
          <w:b w:val="0"/>
          <w:sz w:val="22"/>
          <w:szCs w:val="22"/>
        </w:rPr>
      </w:pPr>
      <w:r w:rsidRPr="00C3096E">
        <w:rPr>
          <w:b w:val="0"/>
          <w:sz w:val="22"/>
          <w:szCs w:val="22"/>
        </w:rPr>
        <w:t>Rédigez une argumentation qui vous permette de répondre à la question suivante :</w:t>
      </w:r>
    </w:p>
    <w:p w:rsidR="009D2F18" w:rsidRDefault="009D2F18" w:rsidP="00DC4CD8"/>
    <w:p w:rsidR="009D2F18" w:rsidRPr="00C3096E" w:rsidRDefault="00C3096E" w:rsidP="00845186">
      <w:pPr>
        <w:jc w:val="center"/>
        <w:rPr>
          <w:sz w:val="22"/>
          <w:szCs w:val="22"/>
        </w:rPr>
      </w:pPr>
      <w:r w:rsidRPr="00C3096E">
        <w:rPr>
          <w:b/>
          <w:sz w:val="22"/>
          <w:szCs w:val="22"/>
        </w:rPr>
        <w:t xml:space="preserve">La mondialisation constitue-t-elle une menace pour l’emploi en France </w:t>
      </w:r>
      <w:r w:rsidR="00845186" w:rsidRPr="00C3096E">
        <w:rPr>
          <w:b/>
          <w:sz w:val="22"/>
          <w:szCs w:val="22"/>
        </w:rPr>
        <w:t>?</w:t>
      </w:r>
    </w:p>
    <w:p w:rsidR="009D2F18" w:rsidRPr="00C3096E" w:rsidRDefault="009D2F18" w:rsidP="009D2F18">
      <w:pPr>
        <w:rPr>
          <w:sz w:val="22"/>
          <w:szCs w:val="22"/>
        </w:rPr>
      </w:pPr>
    </w:p>
    <w:p w:rsidR="009D2F18" w:rsidRPr="00C3096E" w:rsidRDefault="009D2F18" w:rsidP="009D2F18">
      <w:pPr>
        <w:rPr>
          <w:sz w:val="22"/>
          <w:szCs w:val="22"/>
        </w:rPr>
      </w:pPr>
    </w:p>
    <w:p w:rsidR="009D2F18" w:rsidRPr="00C3096E" w:rsidRDefault="009D2F18" w:rsidP="009D2F18">
      <w:pPr>
        <w:rPr>
          <w:sz w:val="22"/>
          <w:szCs w:val="22"/>
        </w:rPr>
      </w:pPr>
    </w:p>
    <w:p w:rsidR="009D2F18" w:rsidRPr="00C3096E" w:rsidRDefault="009D2F18" w:rsidP="009D2F18">
      <w:pPr>
        <w:rPr>
          <w:b/>
          <w:sz w:val="22"/>
          <w:szCs w:val="22"/>
        </w:rPr>
      </w:pPr>
      <w:r w:rsidRPr="00C3096E">
        <w:rPr>
          <w:b/>
          <w:sz w:val="22"/>
          <w:szCs w:val="22"/>
          <w:u w:val="single"/>
        </w:rPr>
        <w:t>Annexes</w:t>
      </w:r>
      <w:r w:rsidRPr="00C3096E">
        <w:rPr>
          <w:b/>
          <w:sz w:val="22"/>
          <w:szCs w:val="22"/>
        </w:rPr>
        <w:t xml:space="preserve"> :</w:t>
      </w:r>
    </w:p>
    <w:p w:rsidR="00C3096E" w:rsidRPr="00C3096E" w:rsidRDefault="00C3096E" w:rsidP="00C3096E">
      <w:pPr>
        <w:rPr>
          <w:sz w:val="22"/>
          <w:szCs w:val="22"/>
        </w:rPr>
      </w:pPr>
      <w:bookmarkStart w:id="0" w:name="_GoBack"/>
      <w:bookmarkEnd w:id="0"/>
      <w:r w:rsidRPr="00C3096E">
        <w:rPr>
          <w:sz w:val="22"/>
          <w:szCs w:val="22"/>
        </w:rPr>
        <w:t>•</w:t>
      </w:r>
      <w:r w:rsidRPr="00C3096E">
        <w:rPr>
          <w:sz w:val="22"/>
          <w:szCs w:val="22"/>
        </w:rPr>
        <w:tab/>
      </w:r>
      <w:r w:rsidRPr="00C3096E">
        <w:rPr>
          <w:sz w:val="22"/>
          <w:szCs w:val="22"/>
          <w:u w:val="single"/>
        </w:rPr>
        <w:t>Annexe 1</w:t>
      </w:r>
      <w:r w:rsidRPr="00C3096E">
        <w:rPr>
          <w:sz w:val="22"/>
          <w:szCs w:val="22"/>
        </w:rPr>
        <w:t xml:space="preserve"> : Taux de chômage selon la catégorie socioprofessionnelle.</w:t>
      </w:r>
    </w:p>
    <w:p w:rsidR="00C3096E" w:rsidRPr="00C3096E" w:rsidRDefault="00C3096E" w:rsidP="00C3096E">
      <w:pPr>
        <w:rPr>
          <w:sz w:val="22"/>
          <w:szCs w:val="22"/>
        </w:rPr>
      </w:pPr>
      <w:r w:rsidRPr="00C3096E">
        <w:rPr>
          <w:sz w:val="22"/>
          <w:szCs w:val="22"/>
        </w:rPr>
        <w:t>•</w:t>
      </w:r>
      <w:r w:rsidRPr="00C3096E">
        <w:rPr>
          <w:sz w:val="22"/>
          <w:szCs w:val="22"/>
        </w:rPr>
        <w:tab/>
      </w:r>
      <w:r w:rsidRPr="00C3096E">
        <w:rPr>
          <w:sz w:val="22"/>
          <w:szCs w:val="22"/>
          <w:u w:val="single"/>
        </w:rPr>
        <w:t>Annexe 2</w:t>
      </w:r>
      <w:r w:rsidRPr="00C3096E">
        <w:rPr>
          <w:sz w:val="22"/>
          <w:szCs w:val="22"/>
        </w:rPr>
        <w:t xml:space="preserve"> : Le déclin des emplois peu qualifiés en France.</w:t>
      </w:r>
    </w:p>
    <w:p w:rsidR="00C3096E" w:rsidRPr="00C3096E" w:rsidRDefault="00C3096E" w:rsidP="00C3096E">
      <w:pPr>
        <w:rPr>
          <w:sz w:val="22"/>
          <w:szCs w:val="22"/>
        </w:rPr>
      </w:pPr>
      <w:r w:rsidRPr="00C3096E">
        <w:rPr>
          <w:sz w:val="22"/>
          <w:szCs w:val="22"/>
        </w:rPr>
        <w:t>•</w:t>
      </w:r>
      <w:r w:rsidRPr="00C3096E">
        <w:rPr>
          <w:sz w:val="22"/>
          <w:szCs w:val="22"/>
        </w:rPr>
        <w:tab/>
      </w:r>
      <w:r w:rsidRPr="00C3096E">
        <w:rPr>
          <w:sz w:val="22"/>
          <w:szCs w:val="22"/>
          <w:u w:val="single"/>
        </w:rPr>
        <w:t>Annexe 3</w:t>
      </w:r>
      <w:r w:rsidRPr="00C3096E">
        <w:rPr>
          <w:sz w:val="22"/>
          <w:szCs w:val="22"/>
        </w:rPr>
        <w:t xml:space="preserve"> : Face à la mondialisation : repenser la stratégie industrielle de la France.</w:t>
      </w:r>
    </w:p>
    <w:p w:rsidR="00C3096E" w:rsidRPr="00C3096E" w:rsidRDefault="00C3096E" w:rsidP="00C3096E">
      <w:pPr>
        <w:rPr>
          <w:sz w:val="22"/>
          <w:szCs w:val="22"/>
        </w:rPr>
      </w:pPr>
      <w:r w:rsidRPr="00C3096E">
        <w:rPr>
          <w:sz w:val="22"/>
          <w:szCs w:val="22"/>
        </w:rPr>
        <w:t>•</w:t>
      </w:r>
      <w:r w:rsidRPr="00C3096E">
        <w:rPr>
          <w:sz w:val="22"/>
          <w:szCs w:val="22"/>
        </w:rPr>
        <w:tab/>
      </w:r>
      <w:r w:rsidRPr="00C3096E">
        <w:rPr>
          <w:sz w:val="22"/>
          <w:szCs w:val="22"/>
          <w:u w:val="single"/>
        </w:rPr>
        <w:t>Annexe 4</w:t>
      </w:r>
      <w:r w:rsidRPr="00C3096E">
        <w:rPr>
          <w:sz w:val="22"/>
          <w:szCs w:val="22"/>
        </w:rPr>
        <w:t xml:space="preserve"> : Évolution de l’emploi exposé et abrité, en milliers.</w:t>
      </w:r>
    </w:p>
    <w:p w:rsidR="009D2F18" w:rsidRPr="00C3096E" w:rsidRDefault="00C3096E" w:rsidP="00C3096E">
      <w:pPr>
        <w:rPr>
          <w:sz w:val="22"/>
          <w:szCs w:val="22"/>
        </w:rPr>
      </w:pPr>
      <w:r w:rsidRPr="00C3096E">
        <w:rPr>
          <w:sz w:val="22"/>
          <w:szCs w:val="22"/>
        </w:rPr>
        <w:t>•</w:t>
      </w:r>
      <w:r w:rsidRPr="00C3096E">
        <w:rPr>
          <w:sz w:val="22"/>
          <w:szCs w:val="22"/>
        </w:rPr>
        <w:tab/>
      </w:r>
      <w:r w:rsidRPr="00C3096E">
        <w:rPr>
          <w:sz w:val="22"/>
          <w:szCs w:val="22"/>
          <w:u w:val="single"/>
        </w:rPr>
        <w:t>Annexe 5</w:t>
      </w:r>
      <w:r w:rsidRPr="00C3096E">
        <w:rPr>
          <w:sz w:val="22"/>
          <w:szCs w:val="22"/>
        </w:rPr>
        <w:t xml:space="preserve"> : La mondialisation, ennemie de l’emploi</w:t>
      </w:r>
      <w:r>
        <w:rPr>
          <w:sz w:val="22"/>
          <w:szCs w:val="22"/>
        </w:rPr>
        <w:t> ?</w:t>
      </w:r>
    </w:p>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rsidRPr="00C3096E">
        <w:rPr>
          <w:sz w:val="22"/>
          <w:szCs w:val="22"/>
        </w:rPr>
        <w:br w:type="page"/>
      </w:r>
      <w:r w:rsidR="00F1128D" w:rsidRPr="00AD56BC">
        <w:rPr>
          <w:rFonts w:ascii="Arial" w:hAnsi="Arial" w:cs="Arial"/>
          <w:b/>
          <w:color w:val="000000"/>
          <w:sz w:val="28"/>
        </w:rPr>
        <w:lastRenderedPageBreak/>
        <w:t>ANNEXES</w:t>
      </w:r>
    </w:p>
    <w:p w:rsidR="00FD61A1" w:rsidRDefault="00FD61A1" w:rsidP="00056590">
      <w:pPr>
        <w:rPr>
          <w:b/>
          <w:u w:val="single"/>
        </w:rPr>
      </w:pPr>
    </w:p>
    <w:p w:rsidR="00C3096E" w:rsidRPr="00C3096E" w:rsidRDefault="00C3096E" w:rsidP="00C3096E">
      <w:pPr>
        <w:rPr>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9" type="#_x0000_t75" style="position:absolute;left:0;text-align:left;margin-left:55.7pt;margin-top:50.8pt;width:502.35pt;height:192.7pt;z-index:1;visibility:visible;mso-wrap-style:square;mso-wrap-distance-left:0;mso-wrap-distance-top:0;mso-wrap-distance-right:0;mso-wrap-distance-bottom:0;mso-position-horizontal-relative:page;mso-position-vertical-relative:text">
            <v:imagedata r:id="rId8" o:title=""/>
            <w10:wrap type="topAndBottom" anchorx="page"/>
          </v:shape>
        </w:pict>
      </w:r>
      <w:r w:rsidRPr="00C3096E">
        <w:rPr>
          <w:b/>
          <w:sz w:val="22"/>
          <w:szCs w:val="22"/>
          <w:u w:val="single"/>
        </w:rPr>
        <w:t>Annexe 1</w:t>
      </w:r>
      <w:r w:rsidRPr="00C3096E">
        <w:rPr>
          <w:b/>
          <w:sz w:val="22"/>
          <w:szCs w:val="22"/>
        </w:rPr>
        <w:t xml:space="preserve"> : Taux de chômage selon la catégorie socioprofessionnelle.</w:t>
      </w:r>
    </w:p>
    <w:p w:rsidR="00C3096E" w:rsidRDefault="00C3096E" w:rsidP="00C3096E">
      <w:pPr>
        <w:rPr>
          <w:sz w:val="22"/>
          <w:szCs w:val="22"/>
        </w:rPr>
      </w:pPr>
    </w:p>
    <w:p w:rsidR="00C3096E" w:rsidRDefault="00C3096E" w:rsidP="00C3096E">
      <w:pPr>
        <w:rPr>
          <w:sz w:val="22"/>
          <w:szCs w:val="22"/>
        </w:rPr>
      </w:pPr>
    </w:p>
    <w:p w:rsidR="00C3096E" w:rsidRDefault="00C3096E" w:rsidP="00C3096E">
      <w:pPr>
        <w:rPr>
          <w:b/>
          <w:sz w:val="22"/>
          <w:szCs w:val="22"/>
          <w:u w:val="single"/>
        </w:rPr>
      </w:pPr>
    </w:p>
    <w:p w:rsidR="00C3096E" w:rsidRPr="00C3096E" w:rsidRDefault="00C3096E" w:rsidP="00C3096E">
      <w:pPr>
        <w:rPr>
          <w:b/>
          <w:sz w:val="22"/>
          <w:szCs w:val="22"/>
        </w:rPr>
      </w:pPr>
      <w:r w:rsidRPr="00C3096E">
        <w:rPr>
          <w:b/>
          <w:sz w:val="22"/>
          <w:szCs w:val="22"/>
          <w:u w:val="single"/>
        </w:rPr>
        <w:t>Annexe 2</w:t>
      </w:r>
      <w:r w:rsidRPr="00C3096E">
        <w:rPr>
          <w:b/>
          <w:sz w:val="22"/>
          <w:szCs w:val="22"/>
        </w:rPr>
        <w:t xml:space="preserve"> : Le déclin des emplois peu qualifiés en France.</w:t>
      </w:r>
    </w:p>
    <w:p w:rsidR="00C3096E" w:rsidRPr="00C3096E" w:rsidRDefault="00C3096E" w:rsidP="00C3096E">
      <w:pPr>
        <w:rPr>
          <w:sz w:val="22"/>
          <w:szCs w:val="22"/>
        </w:rPr>
      </w:pPr>
      <w:r w:rsidRPr="00C3096E">
        <w:rPr>
          <w:sz w:val="22"/>
          <w:szCs w:val="22"/>
        </w:rPr>
        <w:t>À partir du milieu des années 1990, les effectifs et la part des peu qualifiés progressent dans l’emploi, quel que soit le secteur d’activité, même si la tendance est plus prononcée dans les services. Cette progression s’interrompt néanmoins depuis le milieu des années 2000. […]</w:t>
      </w:r>
    </w:p>
    <w:p w:rsidR="00C3096E" w:rsidRPr="00C3096E" w:rsidRDefault="00C3096E" w:rsidP="00C3096E">
      <w:pPr>
        <w:rPr>
          <w:sz w:val="22"/>
          <w:szCs w:val="22"/>
        </w:rPr>
      </w:pPr>
      <w:r w:rsidRPr="00C3096E">
        <w:rPr>
          <w:sz w:val="22"/>
          <w:szCs w:val="22"/>
        </w:rPr>
        <w:t>Au déclin des industries intensives en main d’œuvre concurrencées par les pays à bas salaires s’ajoute la substitution du travail par le capital du fait de la mécanisation des tâches au profit des ouvriers qualifiés.</w:t>
      </w:r>
    </w:p>
    <w:p w:rsidR="00C3096E" w:rsidRPr="00C3096E" w:rsidRDefault="00C3096E" w:rsidP="00C3096E">
      <w:pPr>
        <w:rPr>
          <w:sz w:val="22"/>
          <w:szCs w:val="22"/>
        </w:rPr>
      </w:pPr>
      <w:r w:rsidRPr="00C3096E">
        <w:rPr>
          <w:sz w:val="22"/>
          <w:szCs w:val="22"/>
        </w:rPr>
        <w:t>D’autre part, la crise de 2008 a détruit des emplois non qualifiés dans les services de nettoyage et de sécurité très sensibles au retournement conjoncturel, tandis que la contrainte budgétaire a affecté les services marchands et non marchands de l’aide et de soin qui ont moins progressé que par le passé. Enfin, le progrès technologique a affecté certains métiers de service peu qualifiés qui subissent progressivement les effets de l’automatisation (caissiers).</w:t>
      </w:r>
    </w:p>
    <w:p w:rsidR="00C3096E" w:rsidRPr="00C3096E" w:rsidRDefault="00C3096E" w:rsidP="00C3096E">
      <w:pPr>
        <w:jc w:val="right"/>
        <w:rPr>
          <w:i/>
          <w:sz w:val="22"/>
          <w:szCs w:val="22"/>
        </w:rPr>
      </w:pPr>
      <w:r w:rsidRPr="00C3096E">
        <w:rPr>
          <w:i/>
          <w:sz w:val="22"/>
          <w:szCs w:val="22"/>
        </w:rPr>
        <w:t>Source : France stratégie, La polarisation des emplois, août 2015</w:t>
      </w:r>
    </w:p>
    <w:p w:rsidR="00C3096E" w:rsidRPr="00C3096E" w:rsidRDefault="00C3096E" w:rsidP="00C3096E">
      <w:pPr>
        <w:rPr>
          <w:sz w:val="22"/>
          <w:szCs w:val="22"/>
        </w:rPr>
      </w:pPr>
    </w:p>
    <w:p w:rsidR="00C3096E" w:rsidRPr="00C3096E" w:rsidRDefault="00C3096E" w:rsidP="00C3096E">
      <w:pPr>
        <w:rPr>
          <w:b/>
          <w:sz w:val="22"/>
          <w:szCs w:val="22"/>
        </w:rPr>
      </w:pPr>
      <w:r>
        <w:rPr>
          <w:sz w:val="22"/>
          <w:szCs w:val="22"/>
        </w:rPr>
        <w:br w:type="page"/>
      </w:r>
      <w:r w:rsidRPr="00C3096E">
        <w:rPr>
          <w:b/>
          <w:sz w:val="22"/>
          <w:szCs w:val="22"/>
          <w:u w:val="single"/>
        </w:rPr>
        <w:lastRenderedPageBreak/>
        <w:t>Annexe 3</w:t>
      </w:r>
      <w:r w:rsidRPr="00C3096E">
        <w:rPr>
          <w:b/>
          <w:sz w:val="22"/>
          <w:szCs w:val="22"/>
        </w:rPr>
        <w:t xml:space="preserve"> : Face à la mondialisation : repenser la stratégie industrielle de la France.</w:t>
      </w:r>
    </w:p>
    <w:p w:rsidR="00C3096E" w:rsidRPr="00C3096E" w:rsidRDefault="00C3096E" w:rsidP="00C3096E">
      <w:pPr>
        <w:rPr>
          <w:sz w:val="22"/>
          <w:szCs w:val="22"/>
        </w:rPr>
      </w:pPr>
      <w:r w:rsidRPr="00C3096E">
        <w:rPr>
          <w:sz w:val="22"/>
          <w:szCs w:val="22"/>
        </w:rPr>
        <w:t xml:space="preserve">Entre l’ouvrier non qualifié du Nord, dont l’usine a fermé, victime de la concurrence des pays à </w:t>
      </w:r>
      <w:proofErr w:type="gramStart"/>
      <w:r w:rsidRPr="00C3096E">
        <w:rPr>
          <w:sz w:val="22"/>
          <w:szCs w:val="22"/>
        </w:rPr>
        <w:t>bas</w:t>
      </w:r>
      <w:proofErr w:type="gramEnd"/>
      <w:r w:rsidRPr="00C3096E">
        <w:rPr>
          <w:sz w:val="22"/>
          <w:szCs w:val="22"/>
        </w:rPr>
        <w:t xml:space="preserve"> coût et l’ingénieur de Toulouse, qui profite à plein de la mondialisation en vendant des Airbus à la Chine, […] l’ouverture commerciale peut faire des dégâts, principalement chez les travailleurs peu qualifiés, même si elle n’en est pas la cause unique et principale. […]</w:t>
      </w:r>
    </w:p>
    <w:p w:rsidR="00C3096E" w:rsidRPr="00C3096E" w:rsidRDefault="00C3096E" w:rsidP="00C3096E">
      <w:pPr>
        <w:rPr>
          <w:sz w:val="22"/>
          <w:szCs w:val="22"/>
        </w:rPr>
      </w:pPr>
      <w:r w:rsidRPr="00C3096E">
        <w:rPr>
          <w:sz w:val="22"/>
          <w:szCs w:val="22"/>
        </w:rPr>
        <w:t>Il est urgent de repenser l’insertion de la France dans la mondialisation, pour qu’elle devienne enfin inclusive et parle à tous les Français.</w:t>
      </w:r>
    </w:p>
    <w:p w:rsidR="00C3096E" w:rsidRPr="00C3096E" w:rsidRDefault="00C3096E" w:rsidP="00C3096E">
      <w:pPr>
        <w:rPr>
          <w:sz w:val="22"/>
          <w:szCs w:val="22"/>
        </w:rPr>
      </w:pPr>
      <w:r w:rsidRPr="00C3096E">
        <w:rPr>
          <w:sz w:val="22"/>
          <w:szCs w:val="22"/>
        </w:rPr>
        <w:t>Le premier chantier doit être d’offrir un bagage minimal à ceux qui n’ont rien, de donner plus à ceux qui ont peu. Il n’y a aucune fatalité à ce qu’un travailleur soit non qualifié du moment qu'il peut acquérir un savoir-faire : chaque jour l’industrie du luxe nous démontre le contraire. […]. Le luxe, c’est en quelque sorte la mondialisation à l’envers : nous exportons vers la Chine des produits fabriqués en France par des ouvriers très qualifiés, avec des emplois pérennes à la clé. Au-delà du luxe, nous devons mettre de la qualification dans tous les métiers, pour pouvoir monter en gamme toutes nos productions</w:t>
      </w:r>
      <w:r>
        <w:rPr>
          <w:sz w:val="22"/>
          <w:szCs w:val="22"/>
        </w:rPr>
        <w:t xml:space="preserve"> </w:t>
      </w:r>
      <w:r w:rsidRPr="00C3096E">
        <w:rPr>
          <w:sz w:val="22"/>
          <w:szCs w:val="22"/>
        </w:rPr>
        <w:t>et exportations […]. À l’exception de quelques secteurs, nous souffrons aujourd’hui d’un positionnement qualité/prix peu favorable : nous sommes trop chers par rapport aux produits asiatiques ; nous ne sommes pas assez haut de gamme, par rapport aux produits allemands. […]. La mondialisation […] passe par la montée en gamme de toutes nos productions et par la qualification de tous les travailleurs. Ambition certes exigeante, mais ambition à la mesure de l’exception française dans le monde.</w:t>
      </w:r>
    </w:p>
    <w:p w:rsidR="00C3096E" w:rsidRPr="007E3F1F" w:rsidRDefault="00C3096E" w:rsidP="007E3F1F">
      <w:pPr>
        <w:jc w:val="right"/>
        <w:rPr>
          <w:i/>
          <w:sz w:val="22"/>
          <w:szCs w:val="22"/>
        </w:rPr>
      </w:pPr>
      <w:r w:rsidRPr="007E3F1F">
        <w:rPr>
          <w:i/>
          <w:sz w:val="22"/>
          <w:szCs w:val="22"/>
        </w:rPr>
        <w:t>Source : Emmanuel Combe, Les Échos, 16 mai 2017</w:t>
      </w:r>
    </w:p>
    <w:p w:rsidR="00C3096E" w:rsidRPr="00C3096E" w:rsidRDefault="00C3096E" w:rsidP="00C3096E">
      <w:pPr>
        <w:rPr>
          <w:sz w:val="22"/>
          <w:szCs w:val="22"/>
        </w:rPr>
      </w:pPr>
    </w:p>
    <w:p w:rsidR="00C3096E" w:rsidRPr="00C3096E" w:rsidRDefault="00C3096E" w:rsidP="00C3096E">
      <w:pPr>
        <w:rPr>
          <w:sz w:val="22"/>
          <w:szCs w:val="22"/>
        </w:rPr>
      </w:pPr>
    </w:p>
    <w:p w:rsidR="00C3096E" w:rsidRDefault="00C3096E" w:rsidP="00C3096E">
      <w:pPr>
        <w:rPr>
          <w:b/>
          <w:sz w:val="22"/>
          <w:szCs w:val="22"/>
        </w:rPr>
      </w:pPr>
      <w:r w:rsidRPr="007E3F1F">
        <w:rPr>
          <w:b/>
          <w:sz w:val="22"/>
          <w:szCs w:val="22"/>
          <w:u w:val="single"/>
        </w:rPr>
        <w:t>Annexe 4</w:t>
      </w:r>
      <w:r w:rsidRPr="007E3F1F">
        <w:rPr>
          <w:b/>
          <w:sz w:val="22"/>
          <w:szCs w:val="22"/>
        </w:rPr>
        <w:t xml:space="preserve"> : Évolution de l’emploi exposé et abrité, en milliers.</w:t>
      </w:r>
    </w:p>
    <w:p w:rsidR="00A56157" w:rsidRDefault="00A56157" w:rsidP="00C3096E">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080"/>
        <w:gridCol w:w="2080"/>
        <w:gridCol w:w="2081"/>
      </w:tblGrid>
      <w:tr w:rsidR="00FE6D32" w:rsidRPr="00FE6D32" w:rsidTr="00FE6D32">
        <w:trPr>
          <w:trHeight w:val="397"/>
        </w:trPr>
        <w:tc>
          <w:tcPr>
            <w:tcW w:w="3227" w:type="dxa"/>
            <w:tcBorders>
              <w:left w:val="nil"/>
              <w:bottom w:val="single" w:sz="4" w:space="0" w:color="auto"/>
              <w:right w:val="nil"/>
            </w:tcBorders>
            <w:shd w:val="clear" w:color="auto" w:fill="auto"/>
            <w:vAlign w:val="center"/>
          </w:tcPr>
          <w:p w:rsidR="007E3F1F" w:rsidRPr="00FE6D32" w:rsidRDefault="007E3F1F" w:rsidP="00FE6D32">
            <w:pPr>
              <w:spacing w:before="0" w:after="0"/>
              <w:jc w:val="left"/>
              <w:rPr>
                <w:b/>
                <w:sz w:val="22"/>
                <w:szCs w:val="22"/>
              </w:rPr>
            </w:pPr>
            <w:r w:rsidRPr="00FE6D32">
              <w:rPr>
                <w:b/>
                <w:sz w:val="22"/>
                <w:szCs w:val="22"/>
              </w:rPr>
              <w:t>Secteur</w:t>
            </w:r>
          </w:p>
        </w:tc>
        <w:tc>
          <w:tcPr>
            <w:tcW w:w="2080" w:type="dxa"/>
            <w:tcBorders>
              <w:left w:val="nil"/>
              <w:bottom w:val="single" w:sz="4" w:space="0" w:color="auto"/>
              <w:right w:val="nil"/>
            </w:tcBorders>
            <w:shd w:val="clear" w:color="auto" w:fill="auto"/>
            <w:vAlign w:val="center"/>
          </w:tcPr>
          <w:p w:rsidR="007E3F1F" w:rsidRPr="00FE6D32" w:rsidRDefault="007E3F1F" w:rsidP="00FE6D32">
            <w:pPr>
              <w:spacing w:before="0" w:after="0"/>
              <w:jc w:val="center"/>
              <w:rPr>
                <w:b/>
                <w:sz w:val="22"/>
                <w:szCs w:val="22"/>
              </w:rPr>
            </w:pPr>
            <w:r w:rsidRPr="00FE6D32">
              <w:rPr>
                <w:b/>
                <w:sz w:val="22"/>
                <w:szCs w:val="22"/>
              </w:rPr>
              <w:t>1999</w:t>
            </w:r>
          </w:p>
        </w:tc>
        <w:tc>
          <w:tcPr>
            <w:tcW w:w="2080" w:type="dxa"/>
            <w:tcBorders>
              <w:left w:val="nil"/>
              <w:bottom w:val="single" w:sz="4" w:space="0" w:color="auto"/>
              <w:right w:val="nil"/>
            </w:tcBorders>
            <w:shd w:val="clear" w:color="auto" w:fill="auto"/>
            <w:vAlign w:val="center"/>
          </w:tcPr>
          <w:p w:rsidR="007E3F1F" w:rsidRPr="00FE6D32" w:rsidRDefault="007E3F1F" w:rsidP="00FE6D32">
            <w:pPr>
              <w:spacing w:before="0" w:after="0"/>
              <w:jc w:val="center"/>
              <w:rPr>
                <w:b/>
                <w:sz w:val="22"/>
                <w:szCs w:val="22"/>
              </w:rPr>
            </w:pPr>
            <w:r w:rsidRPr="00FE6D32">
              <w:rPr>
                <w:b/>
                <w:sz w:val="22"/>
                <w:szCs w:val="22"/>
              </w:rPr>
              <w:t>2013</w:t>
            </w:r>
          </w:p>
        </w:tc>
        <w:tc>
          <w:tcPr>
            <w:tcW w:w="2081" w:type="dxa"/>
            <w:tcBorders>
              <w:left w:val="nil"/>
              <w:bottom w:val="single" w:sz="4" w:space="0" w:color="auto"/>
              <w:right w:val="nil"/>
            </w:tcBorders>
            <w:shd w:val="clear" w:color="auto" w:fill="auto"/>
            <w:vAlign w:val="center"/>
          </w:tcPr>
          <w:p w:rsidR="007E3F1F" w:rsidRPr="00FE6D32" w:rsidRDefault="007E3F1F" w:rsidP="00FE6D32">
            <w:pPr>
              <w:spacing w:before="0" w:after="0"/>
              <w:jc w:val="center"/>
              <w:rPr>
                <w:b/>
                <w:sz w:val="22"/>
                <w:szCs w:val="22"/>
              </w:rPr>
            </w:pPr>
            <w:r w:rsidRPr="00FE6D32">
              <w:rPr>
                <w:b/>
                <w:sz w:val="22"/>
                <w:szCs w:val="22"/>
              </w:rPr>
              <w:t>1999 - 2013</w:t>
            </w:r>
          </w:p>
        </w:tc>
      </w:tr>
      <w:tr w:rsidR="00FE6D32" w:rsidRPr="00FE6D32" w:rsidTr="00FE6D32">
        <w:trPr>
          <w:trHeight w:val="397"/>
        </w:trPr>
        <w:tc>
          <w:tcPr>
            <w:tcW w:w="3227" w:type="dxa"/>
            <w:tcBorders>
              <w:top w:val="single" w:sz="4" w:space="0" w:color="auto"/>
              <w:left w:val="nil"/>
              <w:bottom w:val="nil"/>
              <w:right w:val="nil"/>
            </w:tcBorders>
            <w:shd w:val="clear" w:color="auto" w:fill="auto"/>
            <w:vAlign w:val="center"/>
          </w:tcPr>
          <w:p w:rsidR="007E3F1F" w:rsidRPr="00FE6D32" w:rsidRDefault="007E3F1F" w:rsidP="00FE6D32">
            <w:pPr>
              <w:spacing w:before="0" w:after="0"/>
              <w:jc w:val="left"/>
              <w:rPr>
                <w:sz w:val="22"/>
                <w:szCs w:val="22"/>
              </w:rPr>
            </w:pPr>
            <w:r w:rsidRPr="00FE6D32">
              <w:rPr>
                <w:sz w:val="22"/>
                <w:szCs w:val="22"/>
              </w:rPr>
              <w:t>Exposés, dont :</w:t>
            </w:r>
          </w:p>
        </w:tc>
        <w:tc>
          <w:tcPr>
            <w:tcW w:w="2080" w:type="dxa"/>
            <w:tcBorders>
              <w:top w:val="single" w:sz="4" w:space="0" w:color="auto"/>
              <w:left w:val="nil"/>
              <w:bottom w:val="nil"/>
              <w:right w:val="nil"/>
            </w:tcBorders>
            <w:shd w:val="clear" w:color="auto" w:fill="auto"/>
            <w:vAlign w:val="center"/>
          </w:tcPr>
          <w:p w:rsidR="007E3F1F" w:rsidRPr="00FE6D32" w:rsidRDefault="007E3F1F" w:rsidP="00FE6D32">
            <w:pPr>
              <w:spacing w:before="0" w:after="0"/>
              <w:ind w:right="690"/>
              <w:jc w:val="right"/>
              <w:rPr>
                <w:sz w:val="22"/>
                <w:szCs w:val="22"/>
              </w:rPr>
            </w:pPr>
            <w:r w:rsidRPr="00FE6D32">
              <w:rPr>
                <w:sz w:val="22"/>
                <w:szCs w:val="22"/>
              </w:rPr>
              <w:t>7 505</w:t>
            </w:r>
          </w:p>
        </w:tc>
        <w:tc>
          <w:tcPr>
            <w:tcW w:w="2080" w:type="dxa"/>
            <w:tcBorders>
              <w:top w:val="single" w:sz="4" w:space="0" w:color="auto"/>
              <w:left w:val="nil"/>
              <w:bottom w:val="nil"/>
              <w:right w:val="nil"/>
            </w:tcBorders>
            <w:shd w:val="clear" w:color="auto" w:fill="auto"/>
            <w:vAlign w:val="center"/>
          </w:tcPr>
          <w:p w:rsidR="007E3F1F" w:rsidRPr="00FE6D32" w:rsidRDefault="00A56157" w:rsidP="00FE6D32">
            <w:pPr>
              <w:spacing w:before="0" w:after="0"/>
              <w:ind w:left="-65" w:right="649"/>
              <w:jc w:val="right"/>
              <w:rPr>
                <w:sz w:val="22"/>
                <w:szCs w:val="22"/>
              </w:rPr>
            </w:pPr>
            <w:r w:rsidRPr="00FE6D32">
              <w:rPr>
                <w:sz w:val="22"/>
                <w:szCs w:val="22"/>
              </w:rPr>
              <w:t xml:space="preserve">7 </w:t>
            </w:r>
            <w:r w:rsidR="007E3F1F" w:rsidRPr="00FE6D32">
              <w:rPr>
                <w:sz w:val="22"/>
                <w:szCs w:val="22"/>
              </w:rPr>
              <w:t>301</w:t>
            </w:r>
          </w:p>
        </w:tc>
        <w:tc>
          <w:tcPr>
            <w:tcW w:w="2081" w:type="dxa"/>
            <w:tcBorders>
              <w:top w:val="single" w:sz="4" w:space="0" w:color="auto"/>
              <w:left w:val="nil"/>
              <w:bottom w:val="nil"/>
              <w:right w:val="nil"/>
            </w:tcBorders>
            <w:shd w:val="clear" w:color="auto" w:fill="auto"/>
            <w:vAlign w:val="center"/>
          </w:tcPr>
          <w:p w:rsidR="007E3F1F" w:rsidRPr="00FE6D32" w:rsidRDefault="00A56157" w:rsidP="00FE6D32">
            <w:pPr>
              <w:spacing w:before="0" w:after="0"/>
              <w:ind w:left="720" w:right="690"/>
              <w:jc w:val="center"/>
              <w:rPr>
                <w:sz w:val="22"/>
                <w:szCs w:val="22"/>
              </w:rPr>
            </w:pPr>
            <w:r w:rsidRPr="00FE6D32">
              <w:rPr>
                <w:sz w:val="22"/>
                <w:szCs w:val="22"/>
              </w:rPr>
              <w:t>-</w:t>
            </w:r>
            <w:r w:rsidR="007E3F1F" w:rsidRPr="00FE6D32">
              <w:rPr>
                <w:sz w:val="22"/>
                <w:szCs w:val="22"/>
              </w:rPr>
              <w:t>204</w:t>
            </w:r>
          </w:p>
        </w:tc>
      </w:tr>
      <w:tr w:rsidR="00FE6D32" w:rsidRPr="00FE6D32" w:rsidTr="00FE6D32">
        <w:trPr>
          <w:trHeight w:val="397"/>
        </w:trPr>
        <w:tc>
          <w:tcPr>
            <w:tcW w:w="3227" w:type="dxa"/>
            <w:tcBorders>
              <w:top w:val="nil"/>
              <w:left w:val="nil"/>
              <w:bottom w:val="nil"/>
              <w:right w:val="nil"/>
            </w:tcBorders>
            <w:shd w:val="clear" w:color="auto" w:fill="auto"/>
          </w:tcPr>
          <w:p w:rsidR="007E3F1F" w:rsidRPr="00FE6D32" w:rsidRDefault="007E3F1F" w:rsidP="00FE6D32">
            <w:pPr>
              <w:spacing w:before="0" w:after="0"/>
              <w:jc w:val="right"/>
              <w:rPr>
                <w:i/>
                <w:sz w:val="22"/>
                <w:szCs w:val="22"/>
              </w:rPr>
            </w:pPr>
            <w:r w:rsidRPr="00FE6D32">
              <w:rPr>
                <w:i/>
                <w:sz w:val="22"/>
                <w:szCs w:val="22"/>
              </w:rPr>
              <w:t>Industrie</w:t>
            </w:r>
          </w:p>
        </w:tc>
        <w:tc>
          <w:tcPr>
            <w:tcW w:w="2080" w:type="dxa"/>
            <w:tcBorders>
              <w:top w:val="nil"/>
              <w:left w:val="nil"/>
              <w:bottom w:val="nil"/>
              <w:right w:val="nil"/>
            </w:tcBorders>
            <w:shd w:val="clear" w:color="auto" w:fill="auto"/>
            <w:vAlign w:val="center"/>
          </w:tcPr>
          <w:p w:rsidR="007E3F1F" w:rsidRPr="00FE6D32" w:rsidRDefault="007E3F1F" w:rsidP="00FE6D32">
            <w:pPr>
              <w:spacing w:before="0" w:after="0"/>
              <w:ind w:right="690"/>
              <w:jc w:val="right"/>
              <w:rPr>
                <w:i/>
                <w:sz w:val="22"/>
                <w:szCs w:val="22"/>
              </w:rPr>
            </w:pPr>
            <w:r w:rsidRPr="00FE6D32">
              <w:rPr>
                <w:i/>
                <w:sz w:val="22"/>
                <w:szCs w:val="22"/>
              </w:rPr>
              <w:t>3 481</w:t>
            </w:r>
          </w:p>
        </w:tc>
        <w:tc>
          <w:tcPr>
            <w:tcW w:w="2080" w:type="dxa"/>
            <w:tcBorders>
              <w:top w:val="nil"/>
              <w:left w:val="nil"/>
              <w:bottom w:val="nil"/>
              <w:right w:val="nil"/>
            </w:tcBorders>
            <w:shd w:val="clear" w:color="auto" w:fill="auto"/>
            <w:vAlign w:val="center"/>
          </w:tcPr>
          <w:p w:rsidR="007E3F1F" w:rsidRPr="00FE6D32" w:rsidRDefault="00A56157" w:rsidP="00FE6D32">
            <w:pPr>
              <w:spacing w:before="0" w:after="0"/>
              <w:ind w:left="360" w:right="690"/>
              <w:jc w:val="right"/>
              <w:rPr>
                <w:i/>
                <w:sz w:val="22"/>
                <w:szCs w:val="22"/>
              </w:rPr>
            </w:pPr>
            <w:r w:rsidRPr="00FE6D32">
              <w:rPr>
                <w:i/>
                <w:sz w:val="22"/>
                <w:szCs w:val="22"/>
              </w:rPr>
              <w:t xml:space="preserve">2 </w:t>
            </w:r>
            <w:r w:rsidR="007E3F1F" w:rsidRPr="00FE6D32">
              <w:rPr>
                <w:i/>
                <w:sz w:val="22"/>
                <w:szCs w:val="22"/>
              </w:rPr>
              <w:t>726</w:t>
            </w:r>
          </w:p>
        </w:tc>
        <w:tc>
          <w:tcPr>
            <w:tcW w:w="2081" w:type="dxa"/>
            <w:tcBorders>
              <w:top w:val="nil"/>
              <w:left w:val="nil"/>
              <w:bottom w:val="nil"/>
              <w:right w:val="nil"/>
            </w:tcBorders>
            <w:shd w:val="clear" w:color="auto" w:fill="auto"/>
            <w:vAlign w:val="center"/>
          </w:tcPr>
          <w:p w:rsidR="007E3F1F" w:rsidRPr="00FE6D32" w:rsidRDefault="00A56157" w:rsidP="00FE6D32">
            <w:pPr>
              <w:spacing w:before="0" w:after="0"/>
              <w:ind w:left="720" w:right="690"/>
              <w:jc w:val="center"/>
              <w:rPr>
                <w:i/>
                <w:sz w:val="22"/>
                <w:szCs w:val="22"/>
              </w:rPr>
            </w:pPr>
            <w:r w:rsidRPr="00FE6D32">
              <w:rPr>
                <w:i/>
                <w:sz w:val="22"/>
                <w:szCs w:val="22"/>
              </w:rPr>
              <w:t>-</w:t>
            </w:r>
            <w:r w:rsidR="007E3F1F" w:rsidRPr="00FE6D32">
              <w:rPr>
                <w:i/>
                <w:sz w:val="22"/>
                <w:szCs w:val="22"/>
              </w:rPr>
              <w:t>755</w:t>
            </w:r>
          </w:p>
        </w:tc>
      </w:tr>
      <w:tr w:rsidR="00FE6D32" w:rsidRPr="00FE6D32" w:rsidTr="00FE6D32">
        <w:trPr>
          <w:trHeight w:val="397"/>
        </w:trPr>
        <w:tc>
          <w:tcPr>
            <w:tcW w:w="3227" w:type="dxa"/>
            <w:tcBorders>
              <w:top w:val="nil"/>
              <w:left w:val="nil"/>
              <w:bottom w:val="nil"/>
              <w:right w:val="nil"/>
            </w:tcBorders>
            <w:shd w:val="clear" w:color="auto" w:fill="auto"/>
          </w:tcPr>
          <w:p w:rsidR="007E3F1F" w:rsidRPr="00FE6D32" w:rsidRDefault="007E3F1F" w:rsidP="00FE6D32">
            <w:pPr>
              <w:spacing w:before="0" w:after="0"/>
              <w:jc w:val="right"/>
              <w:rPr>
                <w:i/>
                <w:sz w:val="22"/>
                <w:szCs w:val="22"/>
              </w:rPr>
            </w:pPr>
            <w:r w:rsidRPr="00FE6D32">
              <w:rPr>
                <w:i/>
                <w:sz w:val="22"/>
                <w:szCs w:val="22"/>
              </w:rPr>
              <w:t>Services</w:t>
            </w:r>
          </w:p>
        </w:tc>
        <w:tc>
          <w:tcPr>
            <w:tcW w:w="2080" w:type="dxa"/>
            <w:tcBorders>
              <w:top w:val="nil"/>
              <w:left w:val="nil"/>
              <w:bottom w:val="nil"/>
              <w:right w:val="nil"/>
            </w:tcBorders>
            <w:shd w:val="clear" w:color="auto" w:fill="auto"/>
            <w:vAlign w:val="center"/>
          </w:tcPr>
          <w:p w:rsidR="007E3F1F" w:rsidRPr="00FE6D32" w:rsidRDefault="007E3F1F" w:rsidP="00FE6D32">
            <w:pPr>
              <w:spacing w:before="0" w:after="0"/>
              <w:ind w:right="690"/>
              <w:jc w:val="right"/>
              <w:rPr>
                <w:i/>
                <w:sz w:val="22"/>
                <w:szCs w:val="22"/>
              </w:rPr>
            </w:pPr>
            <w:r w:rsidRPr="00FE6D32">
              <w:rPr>
                <w:i/>
                <w:sz w:val="22"/>
                <w:szCs w:val="22"/>
              </w:rPr>
              <w:t>3 020</w:t>
            </w:r>
          </w:p>
        </w:tc>
        <w:tc>
          <w:tcPr>
            <w:tcW w:w="2080" w:type="dxa"/>
            <w:tcBorders>
              <w:top w:val="nil"/>
              <w:left w:val="nil"/>
              <w:bottom w:val="nil"/>
              <w:right w:val="nil"/>
            </w:tcBorders>
            <w:shd w:val="clear" w:color="auto" w:fill="auto"/>
            <w:vAlign w:val="center"/>
          </w:tcPr>
          <w:p w:rsidR="007E3F1F" w:rsidRPr="00FE6D32" w:rsidRDefault="007E3F1F" w:rsidP="00FE6D32">
            <w:pPr>
              <w:spacing w:before="0" w:after="0"/>
              <w:ind w:right="690"/>
              <w:jc w:val="right"/>
              <w:rPr>
                <w:i/>
                <w:sz w:val="22"/>
                <w:szCs w:val="22"/>
              </w:rPr>
            </w:pPr>
            <w:r w:rsidRPr="00FE6D32">
              <w:rPr>
                <w:i/>
                <w:sz w:val="22"/>
                <w:szCs w:val="22"/>
              </w:rPr>
              <w:t>3 800</w:t>
            </w:r>
          </w:p>
        </w:tc>
        <w:tc>
          <w:tcPr>
            <w:tcW w:w="2081" w:type="dxa"/>
            <w:tcBorders>
              <w:top w:val="nil"/>
              <w:left w:val="nil"/>
              <w:bottom w:val="nil"/>
              <w:right w:val="nil"/>
            </w:tcBorders>
            <w:shd w:val="clear" w:color="auto" w:fill="auto"/>
            <w:vAlign w:val="center"/>
          </w:tcPr>
          <w:p w:rsidR="007E3F1F" w:rsidRPr="00FE6D32" w:rsidRDefault="007E3F1F" w:rsidP="00FE6D32">
            <w:pPr>
              <w:spacing w:before="0" w:after="0"/>
              <w:ind w:right="690"/>
              <w:jc w:val="right"/>
              <w:rPr>
                <w:i/>
                <w:sz w:val="22"/>
                <w:szCs w:val="22"/>
              </w:rPr>
            </w:pPr>
            <w:r w:rsidRPr="00FE6D32">
              <w:rPr>
                <w:i/>
                <w:sz w:val="22"/>
                <w:szCs w:val="22"/>
              </w:rPr>
              <w:t>780</w:t>
            </w:r>
          </w:p>
        </w:tc>
      </w:tr>
      <w:tr w:rsidR="00FE6D32" w:rsidRPr="00FE6D32" w:rsidTr="00FE6D32">
        <w:trPr>
          <w:trHeight w:val="397"/>
        </w:trPr>
        <w:tc>
          <w:tcPr>
            <w:tcW w:w="3227" w:type="dxa"/>
            <w:tcBorders>
              <w:top w:val="nil"/>
              <w:left w:val="nil"/>
              <w:bottom w:val="nil"/>
              <w:right w:val="nil"/>
            </w:tcBorders>
            <w:shd w:val="clear" w:color="auto" w:fill="auto"/>
          </w:tcPr>
          <w:p w:rsidR="007E3F1F" w:rsidRPr="00FE6D32" w:rsidRDefault="007E3F1F" w:rsidP="00FE6D32">
            <w:pPr>
              <w:spacing w:before="0" w:after="0"/>
              <w:jc w:val="right"/>
              <w:rPr>
                <w:i/>
                <w:sz w:val="22"/>
                <w:szCs w:val="22"/>
              </w:rPr>
            </w:pPr>
            <w:r w:rsidRPr="00FE6D32">
              <w:rPr>
                <w:i/>
                <w:sz w:val="22"/>
                <w:szCs w:val="22"/>
              </w:rPr>
              <w:t>Agriculture</w:t>
            </w:r>
          </w:p>
        </w:tc>
        <w:tc>
          <w:tcPr>
            <w:tcW w:w="2080" w:type="dxa"/>
            <w:tcBorders>
              <w:top w:val="nil"/>
              <w:left w:val="nil"/>
              <w:bottom w:val="nil"/>
              <w:right w:val="nil"/>
            </w:tcBorders>
            <w:shd w:val="clear" w:color="auto" w:fill="auto"/>
            <w:vAlign w:val="center"/>
          </w:tcPr>
          <w:p w:rsidR="007E3F1F" w:rsidRPr="00FE6D32" w:rsidRDefault="00A56157" w:rsidP="00FE6D32">
            <w:pPr>
              <w:spacing w:before="0" w:after="0"/>
              <w:ind w:right="690"/>
              <w:jc w:val="right"/>
              <w:rPr>
                <w:i/>
                <w:sz w:val="22"/>
                <w:szCs w:val="22"/>
              </w:rPr>
            </w:pPr>
            <w:r w:rsidRPr="00FE6D32">
              <w:rPr>
                <w:i/>
                <w:sz w:val="22"/>
                <w:szCs w:val="22"/>
              </w:rPr>
              <w:t>975</w:t>
            </w:r>
          </w:p>
        </w:tc>
        <w:tc>
          <w:tcPr>
            <w:tcW w:w="2080" w:type="dxa"/>
            <w:tcBorders>
              <w:top w:val="nil"/>
              <w:left w:val="nil"/>
              <w:bottom w:val="nil"/>
              <w:right w:val="nil"/>
            </w:tcBorders>
            <w:shd w:val="clear" w:color="auto" w:fill="auto"/>
            <w:vAlign w:val="center"/>
          </w:tcPr>
          <w:p w:rsidR="007E3F1F" w:rsidRPr="00FE6D32" w:rsidRDefault="00A56157" w:rsidP="00FE6D32">
            <w:pPr>
              <w:spacing w:before="0" w:after="0"/>
              <w:ind w:right="690"/>
              <w:jc w:val="right"/>
              <w:rPr>
                <w:i/>
                <w:sz w:val="22"/>
                <w:szCs w:val="22"/>
              </w:rPr>
            </w:pPr>
            <w:r w:rsidRPr="00FE6D32">
              <w:rPr>
                <w:i/>
                <w:sz w:val="22"/>
                <w:szCs w:val="22"/>
              </w:rPr>
              <w:t>757</w:t>
            </w:r>
          </w:p>
        </w:tc>
        <w:tc>
          <w:tcPr>
            <w:tcW w:w="2081" w:type="dxa"/>
            <w:tcBorders>
              <w:top w:val="nil"/>
              <w:left w:val="nil"/>
              <w:bottom w:val="nil"/>
              <w:right w:val="nil"/>
            </w:tcBorders>
            <w:shd w:val="clear" w:color="auto" w:fill="auto"/>
            <w:vAlign w:val="center"/>
          </w:tcPr>
          <w:p w:rsidR="007E3F1F" w:rsidRPr="00FE6D32" w:rsidRDefault="00A56157" w:rsidP="00FE6D32">
            <w:pPr>
              <w:spacing w:before="0" w:after="0"/>
              <w:ind w:left="720" w:right="690"/>
              <w:jc w:val="center"/>
              <w:rPr>
                <w:i/>
                <w:sz w:val="22"/>
                <w:szCs w:val="22"/>
              </w:rPr>
            </w:pPr>
            <w:r w:rsidRPr="00FE6D32">
              <w:rPr>
                <w:i/>
                <w:sz w:val="22"/>
                <w:szCs w:val="22"/>
              </w:rPr>
              <w:t>-219</w:t>
            </w:r>
          </w:p>
        </w:tc>
      </w:tr>
      <w:tr w:rsidR="00FE6D32" w:rsidRPr="00FE6D32" w:rsidTr="00FE6D32">
        <w:trPr>
          <w:trHeight w:val="397"/>
        </w:trPr>
        <w:tc>
          <w:tcPr>
            <w:tcW w:w="3227" w:type="dxa"/>
            <w:tcBorders>
              <w:top w:val="nil"/>
              <w:left w:val="nil"/>
              <w:bottom w:val="nil"/>
              <w:right w:val="nil"/>
            </w:tcBorders>
            <w:shd w:val="clear" w:color="auto" w:fill="auto"/>
            <w:vAlign w:val="center"/>
          </w:tcPr>
          <w:p w:rsidR="007E3F1F" w:rsidRPr="00FE6D32" w:rsidRDefault="007E3F1F" w:rsidP="00FE6D32">
            <w:pPr>
              <w:spacing w:before="0" w:after="0"/>
              <w:jc w:val="right"/>
              <w:rPr>
                <w:i/>
                <w:sz w:val="22"/>
                <w:szCs w:val="22"/>
              </w:rPr>
            </w:pPr>
            <w:r w:rsidRPr="00FE6D32">
              <w:rPr>
                <w:i/>
                <w:sz w:val="22"/>
                <w:szCs w:val="22"/>
              </w:rPr>
              <w:t>Extraction</w:t>
            </w:r>
          </w:p>
        </w:tc>
        <w:tc>
          <w:tcPr>
            <w:tcW w:w="2080" w:type="dxa"/>
            <w:tcBorders>
              <w:top w:val="nil"/>
              <w:left w:val="nil"/>
              <w:bottom w:val="nil"/>
              <w:right w:val="nil"/>
            </w:tcBorders>
            <w:shd w:val="clear" w:color="auto" w:fill="auto"/>
            <w:vAlign w:val="center"/>
          </w:tcPr>
          <w:p w:rsidR="007E3F1F" w:rsidRPr="00FE6D32" w:rsidRDefault="007E3F1F" w:rsidP="00FE6D32">
            <w:pPr>
              <w:spacing w:before="0" w:after="0"/>
              <w:ind w:right="690"/>
              <w:jc w:val="right"/>
              <w:rPr>
                <w:sz w:val="22"/>
                <w:szCs w:val="22"/>
              </w:rPr>
            </w:pPr>
            <w:r w:rsidRPr="00FE6D32">
              <w:rPr>
                <w:sz w:val="22"/>
                <w:szCs w:val="22"/>
              </w:rPr>
              <w:t>28</w:t>
            </w:r>
          </w:p>
        </w:tc>
        <w:tc>
          <w:tcPr>
            <w:tcW w:w="2080" w:type="dxa"/>
            <w:tcBorders>
              <w:top w:val="nil"/>
              <w:left w:val="nil"/>
              <w:bottom w:val="nil"/>
              <w:right w:val="nil"/>
            </w:tcBorders>
            <w:shd w:val="clear" w:color="auto" w:fill="auto"/>
            <w:vAlign w:val="center"/>
          </w:tcPr>
          <w:p w:rsidR="007E3F1F" w:rsidRPr="00FE6D32" w:rsidRDefault="007E3F1F" w:rsidP="00FE6D32">
            <w:pPr>
              <w:spacing w:before="0" w:after="0"/>
              <w:ind w:right="690"/>
              <w:jc w:val="right"/>
              <w:rPr>
                <w:sz w:val="22"/>
                <w:szCs w:val="22"/>
              </w:rPr>
            </w:pPr>
            <w:r w:rsidRPr="00FE6D32">
              <w:rPr>
                <w:sz w:val="22"/>
                <w:szCs w:val="22"/>
              </w:rPr>
              <w:t>19</w:t>
            </w:r>
          </w:p>
        </w:tc>
        <w:tc>
          <w:tcPr>
            <w:tcW w:w="2081" w:type="dxa"/>
            <w:tcBorders>
              <w:top w:val="nil"/>
              <w:left w:val="nil"/>
              <w:bottom w:val="nil"/>
              <w:right w:val="nil"/>
            </w:tcBorders>
            <w:shd w:val="clear" w:color="auto" w:fill="auto"/>
            <w:vAlign w:val="center"/>
          </w:tcPr>
          <w:p w:rsidR="007E3F1F" w:rsidRPr="00FE6D32" w:rsidRDefault="007E3F1F" w:rsidP="00FE6D32">
            <w:pPr>
              <w:spacing w:before="0" w:after="0"/>
              <w:ind w:right="690"/>
              <w:jc w:val="right"/>
              <w:rPr>
                <w:sz w:val="22"/>
                <w:szCs w:val="22"/>
              </w:rPr>
            </w:pPr>
            <w:r w:rsidRPr="00FE6D32">
              <w:rPr>
                <w:sz w:val="22"/>
                <w:szCs w:val="22"/>
              </w:rPr>
              <w:t>-9</w:t>
            </w:r>
          </w:p>
        </w:tc>
      </w:tr>
      <w:tr w:rsidR="00FE6D32" w:rsidRPr="00FE6D32" w:rsidTr="00FE6D32">
        <w:trPr>
          <w:trHeight w:val="213"/>
        </w:trPr>
        <w:tc>
          <w:tcPr>
            <w:tcW w:w="3227" w:type="dxa"/>
            <w:tcBorders>
              <w:top w:val="nil"/>
              <w:left w:val="nil"/>
              <w:bottom w:val="nil"/>
              <w:right w:val="nil"/>
            </w:tcBorders>
            <w:shd w:val="clear" w:color="auto" w:fill="auto"/>
            <w:vAlign w:val="center"/>
          </w:tcPr>
          <w:p w:rsidR="00A56157" w:rsidRPr="00FE6D32" w:rsidRDefault="00A56157" w:rsidP="00FE6D32">
            <w:pPr>
              <w:spacing w:before="0" w:after="0"/>
              <w:jc w:val="left"/>
              <w:rPr>
                <w:sz w:val="22"/>
                <w:szCs w:val="22"/>
              </w:rPr>
            </w:pPr>
          </w:p>
        </w:tc>
        <w:tc>
          <w:tcPr>
            <w:tcW w:w="2080" w:type="dxa"/>
            <w:tcBorders>
              <w:top w:val="nil"/>
              <w:left w:val="nil"/>
              <w:bottom w:val="nil"/>
              <w:right w:val="nil"/>
            </w:tcBorders>
            <w:shd w:val="clear" w:color="auto" w:fill="auto"/>
            <w:vAlign w:val="center"/>
          </w:tcPr>
          <w:p w:rsidR="00A56157" w:rsidRPr="00FE6D32" w:rsidRDefault="00A56157" w:rsidP="00FE6D32">
            <w:pPr>
              <w:spacing w:before="0" w:after="0"/>
              <w:ind w:right="690"/>
              <w:jc w:val="right"/>
              <w:rPr>
                <w:sz w:val="22"/>
                <w:szCs w:val="22"/>
              </w:rPr>
            </w:pPr>
          </w:p>
        </w:tc>
        <w:tc>
          <w:tcPr>
            <w:tcW w:w="2080" w:type="dxa"/>
            <w:tcBorders>
              <w:top w:val="nil"/>
              <w:left w:val="nil"/>
              <w:bottom w:val="nil"/>
              <w:right w:val="nil"/>
            </w:tcBorders>
            <w:shd w:val="clear" w:color="auto" w:fill="auto"/>
            <w:vAlign w:val="center"/>
          </w:tcPr>
          <w:p w:rsidR="00A56157" w:rsidRPr="00FE6D32" w:rsidRDefault="00A56157" w:rsidP="00FE6D32">
            <w:pPr>
              <w:spacing w:before="0" w:after="0"/>
              <w:ind w:right="690"/>
              <w:jc w:val="right"/>
              <w:rPr>
                <w:sz w:val="22"/>
                <w:szCs w:val="22"/>
              </w:rPr>
            </w:pPr>
          </w:p>
        </w:tc>
        <w:tc>
          <w:tcPr>
            <w:tcW w:w="2081" w:type="dxa"/>
            <w:tcBorders>
              <w:top w:val="nil"/>
              <w:left w:val="nil"/>
              <w:bottom w:val="nil"/>
              <w:right w:val="nil"/>
            </w:tcBorders>
            <w:shd w:val="clear" w:color="auto" w:fill="auto"/>
            <w:vAlign w:val="center"/>
          </w:tcPr>
          <w:p w:rsidR="00A56157" w:rsidRPr="00FE6D32" w:rsidRDefault="00A56157" w:rsidP="00FE6D32">
            <w:pPr>
              <w:spacing w:before="0" w:after="0"/>
              <w:ind w:right="690"/>
              <w:jc w:val="right"/>
              <w:rPr>
                <w:sz w:val="22"/>
                <w:szCs w:val="22"/>
              </w:rPr>
            </w:pPr>
          </w:p>
        </w:tc>
      </w:tr>
      <w:tr w:rsidR="00FE6D32" w:rsidRPr="00FE6D32" w:rsidTr="00FE6D32">
        <w:trPr>
          <w:trHeight w:val="397"/>
        </w:trPr>
        <w:tc>
          <w:tcPr>
            <w:tcW w:w="3227" w:type="dxa"/>
            <w:tcBorders>
              <w:top w:val="nil"/>
              <w:left w:val="nil"/>
              <w:bottom w:val="nil"/>
              <w:right w:val="nil"/>
            </w:tcBorders>
            <w:shd w:val="clear" w:color="auto" w:fill="auto"/>
            <w:vAlign w:val="center"/>
          </w:tcPr>
          <w:p w:rsidR="007E3F1F" w:rsidRPr="00FE6D32" w:rsidRDefault="00A56157" w:rsidP="00FE6D32">
            <w:pPr>
              <w:spacing w:before="0" w:after="0"/>
              <w:jc w:val="left"/>
              <w:rPr>
                <w:sz w:val="22"/>
                <w:szCs w:val="22"/>
              </w:rPr>
            </w:pPr>
            <w:r w:rsidRPr="00FE6D32">
              <w:rPr>
                <w:sz w:val="22"/>
                <w:szCs w:val="22"/>
              </w:rPr>
              <w:t>Abrités, dont :</w:t>
            </w:r>
          </w:p>
        </w:tc>
        <w:tc>
          <w:tcPr>
            <w:tcW w:w="2080" w:type="dxa"/>
            <w:tcBorders>
              <w:top w:val="nil"/>
              <w:left w:val="nil"/>
              <w:bottom w:val="nil"/>
              <w:right w:val="nil"/>
            </w:tcBorders>
            <w:shd w:val="clear" w:color="auto" w:fill="auto"/>
            <w:vAlign w:val="center"/>
          </w:tcPr>
          <w:p w:rsidR="007E3F1F" w:rsidRPr="00FE6D32" w:rsidRDefault="00A56157" w:rsidP="00FE6D32">
            <w:pPr>
              <w:spacing w:before="0" w:after="0"/>
              <w:ind w:right="690"/>
              <w:jc w:val="right"/>
              <w:rPr>
                <w:sz w:val="22"/>
                <w:szCs w:val="22"/>
              </w:rPr>
            </w:pPr>
            <w:r w:rsidRPr="00FE6D32">
              <w:rPr>
                <w:sz w:val="22"/>
                <w:szCs w:val="22"/>
              </w:rPr>
              <w:t>17 528</w:t>
            </w:r>
          </w:p>
        </w:tc>
        <w:tc>
          <w:tcPr>
            <w:tcW w:w="2080" w:type="dxa"/>
            <w:tcBorders>
              <w:top w:val="nil"/>
              <w:left w:val="nil"/>
              <w:bottom w:val="nil"/>
              <w:right w:val="nil"/>
            </w:tcBorders>
            <w:shd w:val="clear" w:color="auto" w:fill="auto"/>
            <w:vAlign w:val="center"/>
          </w:tcPr>
          <w:p w:rsidR="007E3F1F" w:rsidRPr="00FE6D32" w:rsidRDefault="00A56157" w:rsidP="00FE6D32">
            <w:pPr>
              <w:spacing w:before="0" w:after="0"/>
              <w:ind w:right="690"/>
              <w:jc w:val="right"/>
              <w:rPr>
                <w:sz w:val="22"/>
                <w:szCs w:val="22"/>
              </w:rPr>
            </w:pPr>
            <w:r w:rsidRPr="00FE6D32">
              <w:rPr>
                <w:sz w:val="22"/>
                <w:szCs w:val="22"/>
              </w:rPr>
              <w:t>19 896</w:t>
            </w:r>
          </w:p>
        </w:tc>
        <w:tc>
          <w:tcPr>
            <w:tcW w:w="2081" w:type="dxa"/>
            <w:tcBorders>
              <w:top w:val="nil"/>
              <w:left w:val="nil"/>
              <w:bottom w:val="nil"/>
              <w:right w:val="nil"/>
            </w:tcBorders>
            <w:shd w:val="clear" w:color="auto" w:fill="auto"/>
            <w:vAlign w:val="center"/>
          </w:tcPr>
          <w:p w:rsidR="007E3F1F" w:rsidRPr="00FE6D32" w:rsidRDefault="00A56157" w:rsidP="00FE6D32">
            <w:pPr>
              <w:spacing w:before="0" w:after="0"/>
              <w:ind w:right="690"/>
              <w:jc w:val="right"/>
              <w:rPr>
                <w:sz w:val="22"/>
                <w:szCs w:val="22"/>
              </w:rPr>
            </w:pPr>
            <w:r w:rsidRPr="00FE6D32">
              <w:rPr>
                <w:sz w:val="22"/>
                <w:szCs w:val="22"/>
              </w:rPr>
              <w:t>2 368</w:t>
            </w:r>
          </w:p>
        </w:tc>
      </w:tr>
      <w:tr w:rsidR="00FE6D32" w:rsidRPr="00FE6D32" w:rsidTr="00FE6D32">
        <w:trPr>
          <w:trHeight w:val="397"/>
        </w:trPr>
        <w:tc>
          <w:tcPr>
            <w:tcW w:w="3227" w:type="dxa"/>
            <w:tcBorders>
              <w:top w:val="nil"/>
              <w:left w:val="nil"/>
              <w:bottom w:val="nil"/>
              <w:right w:val="nil"/>
            </w:tcBorders>
            <w:shd w:val="clear" w:color="auto" w:fill="auto"/>
            <w:vAlign w:val="center"/>
          </w:tcPr>
          <w:p w:rsidR="00A56157" w:rsidRPr="00FE6D32" w:rsidRDefault="00A56157" w:rsidP="00FE6D32">
            <w:pPr>
              <w:spacing w:before="0" w:after="0"/>
              <w:jc w:val="right"/>
              <w:rPr>
                <w:i/>
                <w:sz w:val="22"/>
                <w:szCs w:val="22"/>
              </w:rPr>
            </w:pPr>
            <w:r w:rsidRPr="00FE6D32">
              <w:rPr>
                <w:i/>
                <w:sz w:val="22"/>
                <w:szCs w:val="22"/>
              </w:rPr>
              <w:t>Marchand</w:t>
            </w:r>
          </w:p>
        </w:tc>
        <w:tc>
          <w:tcPr>
            <w:tcW w:w="2080" w:type="dxa"/>
            <w:tcBorders>
              <w:top w:val="nil"/>
              <w:left w:val="nil"/>
              <w:bottom w:val="nil"/>
              <w:right w:val="nil"/>
            </w:tcBorders>
            <w:shd w:val="clear" w:color="auto" w:fill="auto"/>
            <w:vAlign w:val="center"/>
          </w:tcPr>
          <w:p w:rsidR="00A56157" w:rsidRPr="00FE6D32" w:rsidRDefault="00A56157" w:rsidP="00FE6D32">
            <w:pPr>
              <w:spacing w:before="0" w:after="0"/>
              <w:ind w:right="690"/>
              <w:jc w:val="right"/>
              <w:rPr>
                <w:i/>
                <w:sz w:val="22"/>
                <w:szCs w:val="22"/>
              </w:rPr>
            </w:pPr>
            <w:r w:rsidRPr="00FE6D32">
              <w:rPr>
                <w:i/>
                <w:sz w:val="22"/>
                <w:szCs w:val="22"/>
              </w:rPr>
              <w:t>10 189</w:t>
            </w:r>
          </w:p>
        </w:tc>
        <w:tc>
          <w:tcPr>
            <w:tcW w:w="2080" w:type="dxa"/>
            <w:tcBorders>
              <w:top w:val="nil"/>
              <w:left w:val="nil"/>
              <w:bottom w:val="nil"/>
              <w:right w:val="nil"/>
            </w:tcBorders>
            <w:shd w:val="clear" w:color="auto" w:fill="auto"/>
            <w:vAlign w:val="center"/>
          </w:tcPr>
          <w:p w:rsidR="00A56157" w:rsidRPr="00FE6D32" w:rsidRDefault="00A56157" w:rsidP="00FE6D32">
            <w:pPr>
              <w:spacing w:before="0" w:after="0"/>
              <w:ind w:right="690"/>
              <w:jc w:val="right"/>
              <w:rPr>
                <w:i/>
                <w:sz w:val="22"/>
                <w:szCs w:val="22"/>
              </w:rPr>
            </w:pPr>
            <w:r w:rsidRPr="00FE6D32">
              <w:rPr>
                <w:i/>
                <w:sz w:val="22"/>
                <w:szCs w:val="22"/>
              </w:rPr>
              <w:t>11 902</w:t>
            </w:r>
          </w:p>
        </w:tc>
        <w:tc>
          <w:tcPr>
            <w:tcW w:w="2081" w:type="dxa"/>
            <w:tcBorders>
              <w:top w:val="nil"/>
              <w:left w:val="nil"/>
              <w:bottom w:val="nil"/>
              <w:right w:val="nil"/>
            </w:tcBorders>
            <w:shd w:val="clear" w:color="auto" w:fill="auto"/>
            <w:vAlign w:val="center"/>
          </w:tcPr>
          <w:p w:rsidR="00A56157" w:rsidRPr="00FE6D32" w:rsidRDefault="00A56157" w:rsidP="00FE6D32">
            <w:pPr>
              <w:spacing w:before="0" w:after="0"/>
              <w:ind w:right="690"/>
              <w:jc w:val="right"/>
              <w:rPr>
                <w:i/>
                <w:sz w:val="22"/>
                <w:szCs w:val="22"/>
              </w:rPr>
            </w:pPr>
            <w:r w:rsidRPr="00FE6D32">
              <w:rPr>
                <w:i/>
                <w:sz w:val="22"/>
                <w:szCs w:val="22"/>
              </w:rPr>
              <w:t>1 713</w:t>
            </w:r>
          </w:p>
        </w:tc>
      </w:tr>
      <w:tr w:rsidR="00FE6D32" w:rsidRPr="00FE6D32" w:rsidTr="00FE6D32">
        <w:trPr>
          <w:trHeight w:val="397"/>
        </w:trPr>
        <w:tc>
          <w:tcPr>
            <w:tcW w:w="3227" w:type="dxa"/>
            <w:tcBorders>
              <w:top w:val="nil"/>
              <w:left w:val="nil"/>
              <w:bottom w:val="nil"/>
              <w:right w:val="nil"/>
            </w:tcBorders>
            <w:shd w:val="clear" w:color="auto" w:fill="auto"/>
            <w:vAlign w:val="center"/>
          </w:tcPr>
          <w:p w:rsidR="00A56157" w:rsidRPr="00FE6D32" w:rsidRDefault="00A56157" w:rsidP="00FE6D32">
            <w:pPr>
              <w:spacing w:before="0" w:after="0"/>
              <w:jc w:val="right"/>
              <w:rPr>
                <w:i/>
                <w:sz w:val="22"/>
                <w:szCs w:val="22"/>
              </w:rPr>
            </w:pPr>
            <w:r w:rsidRPr="00FE6D32">
              <w:rPr>
                <w:i/>
                <w:sz w:val="22"/>
                <w:szCs w:val="22"/>
              </w:rPr>
              <w:t>Non-marchand</w:t>
            </w:r>
          </w:p>
        </w:tc>
        <w:tc>
          <w:tcPr>
            <w:tcW w:w="2080" w:type="dxa"/>
            <w:tcBorders>
              <w:top w:val="nil"/>
              <w:left w:val="nil"/>
              <w:bottom w:val="nil"/>
              <w:right w:val="nil"/>
            </w:tcBorders>
            <w:shd w:val="clear" w:color="auto" w:fill="auto"/>
            <w:vAlign w:val="center"/>
          </w:tcPr>
          <w:p w:rsidR="00A56157" w:rsidRPr="00FE6D32" w:rsidRDefault="00A56157" w:rsidP="00FE6D32">
            <w:pPr>
              <w:spacing w:before="0" w:after="0"/>
              <w:ind w:right="690"/>
              <w:jc w:val="right"/>
              <w:rPr>
                <w:i/>
                <w:sz w:val="22"/>
                <w:szCs w:val="22"/>
              </w:rPr>
            </w:pPr>
            <w:r w:rsidRPr="00FE6D32">
              <w:rPr>
                <w:i/>
                <w:sz w:val="22"/>
                <w:szCs w:val="22"/>
              </w:rPr>
              <w:t>7 339</w:t>
            </w:r>
          </w:p>
        </w:tc>
        <w:tc>
          <w:tcPr>
            <w:tcW w:w="2080" w:type="dxa"/>
            <w:tcBorders>
              <w:top w:val="nil"/>
              <w:left w:val="nil"/>
              <w:bottom w:val="nil"/>
              <w:right w:val="nil"/>
            </w:tcBorders>
            <w:shd w:val="clear" w:color="auto" w:fill="auto"/>
            <w:vAlign w:val="center"/>
          </w:tcPr>
          <w:p w:rsidR="00A56157" w:rsidRPr="00FE6D32" w:rsidRDefault="00A56157" w:rsidP="00FE6D32">
            <w:pPr>
              <w:spacing w:before="0" w:after="0"/>
              <w:ind w:right="690"/>
              <w:jc w:val="right"/>
              <w:rPr>
                <w:i/>
                <w:sz w:val="22"/>
                <w:szCs w:val="22"/>
              </w:rPr>
            </w:pPr>
            <w:r w:rsidRPr="00FE6D32">
              <w:rPr>
                <w:i/>
                <w:sz w:val="22"/>
                <w:szCs w:val="22"/>
              </w:rPr>
              <w:t>7 994</w:t>
            </w:r>
          </w:p>
        </w:tc>
        <w:tc>
          <w:tcPr>
            <w:tcW w:w="2081" w:type="dxa"/>
            <w:tcBorders>
              <w:top w:val="nil"/>
              <w:left w:val="nil"/>
              <w:bottom w:val="nil"/>
              <w:right w:val="nil"/>
            </w:tcBorders>
            <w:shd w:val="clear" w:color="auto" w:fill="auto"/>
            <w:vAlign w:val="center"/>
          </w:tcPr>
          <w:p w:rsidR="00A56157" w:rsidRPr="00FE6D32" w:rsidRDefault="00A56157" w:rsidP="00FE6D32">
            <w:pPr>
              <w:spacing w:before="0" w:after="0"/>
              <w:ind w:right="690"/>
              <w:jc w:val="right"/>
              <w:rPr>
                <w:i/>
                <w:sz w:val="22"/>
                <w:szCs w:val="22"/>
              </w:rPr>
            </w:pPr>
            <w:r w:rsidRPr="00FE6D32">
              <w:rPr>
                <w:i/>
                <w:sz w:val="22"/>
                <w:szCs w:val="22"/>
              </w:rPr>
              <w:t>655</w:t>
            </w:r>
          </w:p>
        </w:tc>
      </w:tr>
    </w:tbl>
    <w:p w:rsidR="00C3096E" w:rsidRPr="00A56157" w:rsidRDefault="00C3096E" w:rsidP="00A56157">
      <w:pPr>
        <w:jc w:val="right"/>
        <w:rPr>
          <w:i/>
          <w:sz w:val="22"/>
          <w:szCs w:val="22"/>
        </w:rPr>
      </w:pPr>
      <w:r w:rsidRPr="00A56157">
        <w:rPr>
          <w:i/>
          <w:sz w:val="22"/>
          <w:szCs w:val="22"/>
        </w:rPr>
        <w:t>Source : Les Synthèses de La Fabrique, Septembre 2016</w:t>
      </w:r>
    </w:p>
    <w:p w:rsidR="00C3096E" w:rsidRPr="00C3096E" w:rsidRDefault="00C3096E" w:rsidP="00C3096E">
      <w:pPr>
        <w:rPr>
          <w:sz w:val="22"/>
          <w:szCs w:val="22"/>
        </w:rPr>
      </w:pPr>
    </w:p>
    <w:p w:rsidR="00C3096E" w:rsidRPr="00C3096E" w:rsidRDefault="00C3096E" w:rsidP="00C3096E">
      <w:pPr>
        <w:rPr>
          <w:sz w:val="22"/>
          <w:szCs w:val="22"/>
        </w:rPr>
      </w:pPr>
    </w:p>
    <w:p w:rsidR="00C3096E" w:rsidRPr="00C3096E" w:rsidRDefault="00C3096E" w:rsidP="00C3096E">
      <w:pPr>
        <w:rPr>
          <w:sz w:val="22"/>
          <w:szCs w:val="22"/>
        </w:rPr>
      </w:pPr>
    </w:p>
    <w:p w:rsidR="00C3096E" w:rsidRPr="00A56157" w:rsidRDefault="00C3096E" w:rsidP="00C3096E">
      <w:pPr>
        <w:rPr>
          <w:b/>
          <w:sz w:val="22"/>
          <w:szCs w:val="22"/>
        </w:rPr>
      </w:pPr>
      <w:r w:rsidRPr="00A56157">
        <w:rPr>
          <w:b/>
          <w:sz w:val="22"/>
          <w:szCs w:val="22"/>
          <w:u w:val="single"/>
        </w:rPr>
        <w:t>Annexe 5</w:t>
      </w:r>
      <w:r w:rsidRPr="00A56157">
        <w:rPr>
          <w:b/>
          <w:sz w:val="22"/>
          <w:szCs w:val="22"/>
        </w:rPr>
        <w:t xml:space="preserve"> : La mondialisation, ennemie de l’emploi ?</w:t>
      </w:r>
    </w:p>
    <w:p w:rsidR="00C3096E" w:rsidRPr="00C3096E" w:rsidRDefault="00C3096E" w:rsidP="00C3096E">
      <w:pPr>
        <w:rPr>
          <w:sz w:val="22"/>
          <w:szCs w:val="22"/>
        </w:rPr>
      </w:pPr>
      <w:r w:rsidRPr="00C3096E">
        <w:rPr>
          <w:sz w:val="22"/>
          <w:szCs w:val="22"/>
        </w:rPr>
        <w:t xml:space="preserve">On s'accordera sur le fait que la pression concurrentielle exercée par l'étranger n'est pas la même pour les boulangers ou les fonctionnaires de l'éducation nationale, que pour les ouvriers de l'automobile ou les employés de centres d'appel. Il est donc nécessaire de distinguer les emplois directement exposés à la concurrence internationale de ceux qui ne le sont pas. On estime à trois quarts la part des travailleurs français qui ne sont pas directement en compétition avec des emplois localisés dans d'autres pays. Le nombre de ces travailleurs </w:t>
      </w:r>
      <w:r w:rsidR="00A56157">
        <w:rPr>
          <w:sz w:val="22"/>
          <w:szCs w:val="22"/>
        </w:rPr>
        <w:br/>
      </w:r>
      <w:r w:rsidRPr="00C3096E">
        <w:rPr>
          <w:sz w:val="22"/>
          <w:szCs w:val="22"/>
        </w:rPr>
        <w:t>« abrités » s'est accru de 2,4 millions entre 1999 et 2013. Reste donc seulement un quart de travailleurs « exposés » […].</w:t>
      </w:r>
    </w:p>
    <w:p w:rsidR="00C3096E" w:rsidRPr="00C3096E" w:rsidRDefault="00C3096E" w:rsidP="00C3096E">
      <w:pPr>
        <w:rPr>
          <w:sz w:val="22"/>
          <w:szCs w:val="22"/>
        </w:rPr>
      </w:pPr>
      <w:r w:rsidRPr="00C3096E">
        <w:rPr>
          <w:sz w:val="22"/>
          <w:szCs w:val="22"/>
        </w:rPr>
        <w:t>L'emploi dans les secteurs exposés (agriculture, industrie manufacturière, télécommunications, recherche-développement, hôtellerie, etc.) se contracte dans tous les pays développés. En France, par exemple, environ 200 000 emplois exposés ont disparu au cours des quinze dernières années. Bien souvent, et alors que les gains de l'ouverture à international correspondent essentiellement à des baisses de prix dont les effets sont diffus, les pertes sont extrêmement concentrées dans quelques métiers et quelques territoires. La concurrence internationale est parfois si rude que sont détruits localement non seulement des emplois exposés mais aussi - par ricochet - un grand nombre d'emplois abrités, entraînant le laminage de bassins d'emplois entiers. Généralement, les</w:t>
      </w:r>
      <w:r w:rsidR="00A56157">
        <w:rPr>
          <w:sz w:val="22"/>
          <w:szCs w:val="22"/>
        </w:rPr>
        <w:t xml:space="preserve"> </w:t>
      </w:r>
      <w:r w:rsidRPr="00C3096E">
        <w:rPr>
          <w:sz w:val="22"/>
          <w:szCs w:val="22"/>
        </w:rPr>
        <w:t>peu qualifiés sont les premiers balayés. S'ajoutent à cela des mutations technologiques majeures, qui transforment le travail de manière radicale, et auxquelles la mondialisation est souvent assimilée. Les technologies de l'information et de la communication prennent une place toujours plus importante dans les entreprises, bouleversant les modes de production et les besoins en main-d'œuvre. À ce jour, les peu qualifiés - du moins en tant que producteurs - ne profitent guère de ces développements voire en font les frais. Enfin, en raison de ces nouvelles technologies, des activités jusqu'alors protégées de la concurrence internationale se retrouvent exposées, dans la santé par exemple - analyse de radios -, les services informatiques ou financiers.</w:t>
      </w:r>
    </w:p>
    <w:p w:rsidR="00C3096E" w:rsidRPr="00A56157" w:rsidRDefault="00C3096E" w:rsidP="00A56157">
      <w:pPr>
        <w:jc w:val="right"/>
        <w:rPr>
          <w:i/>
          <w:sz w:val="22"/>
          <w:szCs w:val="22"/>
        </w:rPr>
      </w:pPr>
      <w:r w:rsidRPr="00A56157">
        <w:rPr>
          <w:i/>
          <w:sz w:val="22"/>
          <w:szCs w:val="22"/>
        </w:rPr>
        <w:t xml:space="preserve">Source : Philippe </w:t>
      </w:r>
      <w:proofErr w:type="spellStart"/>
      <w:r w:rsidRPr="00A56157">
        <w:rPr>
          <w:i/>
          <w:sz w:val="22"/>
          <w:szCs w:val="22"/>
        </w:rPr>
        <w:t>Frocrain</w:t>
      </w:r>
      <w:proofErr w:type="spellEnd"/>
      <w:r w:rsidRPr="00A56157">
        <w:rPr>
          <w:i/>
          <w:sz w:val="22"/>
          <w:szCs w:val="22"/>
        </w:rPr>
        <w:t>, La Tribune, 21.03.2017</w:t>
      </w:r>
    </w:p>
    <w:sectPr w:rsidR="00C3096E" w:rsidRPr="00A56157" w:rsidSect="009D2F18">
      <w:footerReference w:type="default" r:id="rId9"/>
      <w:footerReference w:type="first" r:id="rId10"/>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D32" w:rsidRDefault="00FE6D32">
      <w:r>
        <w:separator/>
      </w:r>
    </w:p>
  </w:endnote>
  <w:endnote w:type="continuationSeparator" w:id="0">
    <w:p w:rsidR="00FE6D32" w:rsidRDefault="00FE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9334B5">
      <w:rPr>
        <w:rFonts w:cs="Tahoma"/>
        <w:noProof/>
        <w:szCs w:val="20"/>
      </w:rPr>
      <w:t>3</w:t>
    </w:r>
    <w:r w:rsidRPr="00121FFA">
      <w:rPr>
        <w:rFonts w:cs="Tahoma"/>
        <w:szCs w:val="20"/>
      </w:rPr>
      <w:fldChar w:fldCharType="end"/>
    </w:r>
    <w:r w:rsidRPr="00121FFA">
      <w:rPr>
        <w:rFonts w:cs="Tahoma"/>
        <w:szCs w:val="20"/>
      </w:rPr>
      <w:t xml:space="preserve"> / </w:t>
    </w:r>
    <w:fldSimple w:instr=" NUMPAGES   \* MERGEFORMAT ">
      <w:r w:rsidR="009334B5" w:rsidRPr="009334B5">
        <w:rPr>
          <w:rFonts w:cs="Tahoma"/>
          <w:noProof/>
          <w:szCs w:val="20"/>
        </w:rPr>
        <w:t>3</w:t>
      </w:r>
    </w:fldSimple>
  </w:p>
  <w:p w:rsidR="00593344" w:rsidRDefault="00593344">
    <w:pPr>
      <w:pStyle w:val="Pieddepage"/>
    </w:pPr>
  </w:p>
  <w:p w:rsidR="00000000" w:rsidRDefault="00FE6D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9334B5">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9334B5" w:rsidRPr="009334B5">
        <w:rPr>
          <w:rFonts w:cs="Tahoma"/>
          <w:noProof/>
          <w:szCs w:val="20"/>
        </w:rPr>
        <w:t>3</w:t>
      </w:r>
    </w:fldSimple>
  </w:p>
  <w:p w:rsidR="00C77538" w:rsidRDefault="00C77538">
    <w:pPr>
      <w:pStyle w:val="Pieddepage"/>
    </w:pPr>
  </w:p>
  <w:p w:rsidR="00000000" w:rsidRDefault="00FE6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D32" w:rsidRDefault="00FE6D32">
      <w:r>
        <w:separator/>
      </w:r>
    </w:p>
  </w:footnote>
  <w:footnote w:type="continuationSeparator" w:id="0">
    <w:p w:rsidR="00FE6D32" w:rsidRDefault="00FE6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E51707"/>
    <w:multiLevelType w:val="hybridMultilevel"/>
    <w:tmpl w:val="23CEE1D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0B5F79F5"/>
    <w:multiLevelType w:val="hybridMultilevel"/>
    <w:tmpl w:val="D99CE282"/>
    <w:lvl w:ilvl="0" w:tplc="D50013C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C43192"/>
    <w:multiLevelType w:val="hybridMultilevel"/>
    <w:tmpl w:val="BAE43630"/>
    <w:lvl w:ilvl="0" w:tplc="2A24201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10"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11"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6"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7"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21"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2" w15:restartNumberingAfterBreak="0">
    <w:nsid w:val="3C2775AA"/>
    <w:multiLevelType w:val="hybridMultilevel"/>
    <w:tmpl w:val="1B46BD58"/>
    <w:lvl w:ilvl="0" w:tplc="04B887D2">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5"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30"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1"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4"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5"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535879"/>
    <w:multiLevelType w:val="hybridMultilevel"/>
    <w:tmpl w:val="DBDC3220"/>
    <w:lvl w:ilvl="0" w:tplc="66E0365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E8050D7"/>
    <w:multiLevelType w:val="hybridMultilevel"/>
    <w:tmpl w:val="2FD8D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38"/>
  </w:num>
  <w:num w:numId="4">
    <w:abstractNumId w:val="2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1"/>
  </w:num>
  <w:num w:numId="8">
    <w:abstractNumId w:val="35"/>
  </w:num>
  <w:num w:numId="9">
    <w:abstractNumId w:val="32"/>
  </w:num>
  <w:num w:numId="10">
    <w:abstractNumId w:val="3"/>
  </w:num>
  <w:num w:numId="11">
    <w:abstractNumId w:val="41"/>
  </w:num>
  <w:num w:numId="12">
    <w:abstractNumId w:val="7"/>
  </w:num>
  <w:num w:numId="13">
    <w:abstractNumId w:val="37"/>
  </w:num>
  <w:num w:numId="14">
    <w:abstractNumId w:val="11"/>
  </w:num>
  <w:num w:numId="15">
    <w:abstractNumId w:val="2"/>
  </w:num>
  <w:num w:numId="16">
    <w:abstractNumId w:val="39"/>
  </w:num>
  <w:num w:numId="17">
    <w:abstractNumId w:val="14"/>
  </w:num>
  <w:num w:numId="18">
    <w:abstractNumId w:val="23"/>
  </w:num>
  <w:num w:numId="19">
    <w:abstractNumId w:val="26"/>
  </w:num>
  <w:num w:numId="20">
    <w:abstractNumId w:val="34"/>
  </w:num>
  <w:num w:numId="21">
    <w:abstractNumId w:val="34"/>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20"/>
  </w:num>
  <w:num w:numId="23">
    <w:abstractNumId w:val="1"/>
  </w:num>
  <w:num w:numId="24">
    <w:abstractNumId w:val="16"/>
  </w:num>
  <w:num w:numId="25">
    <w:abstractNumId w:val="21"/>
  </w:num>
  <w:num w:numId="26">
    <w:abstractNumId w:val="10"/>
  </w:num>
  <w:num w:numId="27">
    <w:abstractNumId w:val="29"/>
  </w:num>
  <w:num w:numId="28">
    <w:abstractNumId w:val="29"/>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4"/>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9"/>
  </w:num>
  <w:num w:numId="32">
    <w:abstractNumId w:val="15"/>
  </w:num>
  <w:num w:numId="33">
    <w:abstractNumId w:val="40"/>
  </w:num>
  <w:num w:numId="34">
    <w:abstractNumId w:val="12"/>
  </w:num>
  <w:num w:numId="35">
    <w:abstractNumId w:val="13"/>
  </w:num>
  <w:num w:numId="36">
    <w:abstractNumId w:val="17"/>
  </w:num>
  <w:num w:numId="37">
    <w:abstractNumId w:val="28"/>
  </w:num>
  <w:num w:numId="38">
    <w:abstractNumId w:val="19"/>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7"/>
  </w:num>
  <w:num w:numId="44">
    <w:abstractNumId w:val="36"/>
  </w:num>
  <w:num w:numId="45">
    <w:abstractNumId w:val="5"/>
  </w:num>
  <w:num w:numId="46">
    <w:abstractNumId w:val="43"/>
  </w:num>
  <w:num w:numId="47">
    <w:abstractNumId w:val="8"/>
  </w:num>
  <w:num w:numId="48">
    <w:abstractNumId w:val="22"/>
  </w:num>
  <w:num w:numId="49">
    <w:abstractNumId w:val="6"/>
  </w:num>
  <w:num w:numId="50">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FB4"/>
    <w:rsid w:val="00263ACF"/>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0804"/>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93FB8"/>
    <w:rsid w:val="00394DA8"/>
    <w:rsid w:val="00396B74"/>
    <w:rsid w:val="003C0544"/>
    <w:rsid w:val="003C06CC"/>
    <w:rsid w:val="003C323B"/>
    <w:rsid w:val="003D11EE"/>
    <w:rsid w:val="003D3CBC"/>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0460C"/>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57C0"/>
    <w:rsid w:val="00576E27"/>
    <w:rsid w:val="0058204A"/>
    <w:rsid w:val="0058245D"/>
    <w:rsid w:val="00584008"/>
    <w:rsid w:val="005840CE"/>
    <w:rsid w:val="005854EF"/>
    <w:rsid w:val="00586F33"/>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1BB1"/>
    <w:rsid w:val="006F3381"/>
    <w:rsid w:val="0070392C"/>
    <w:rsid w:val="0070579E"/>
    <w:rsid w:val="00711887"/>
    <w:rsid w:val="00712F6F"/>
    <w:rsid w:val="007138AE"/>
    <w:rsid w:val="007329C5"/>
    <w:rsid w:val="00736433"/>
    <w:rsid w:val="007461A6"/>
    <w:rsid w:val="00747938"/>
    <w:rsid w:val="0075012A"/>
    <w:rsid w:val="00762339"/>
    <w:rsid w:val="00762C02"/>
    <w:rsid w:val="007815CB"/>
    <w:rsid w:val="0078439A"/>
    <w:rsid w:val="007903BF"/>
    <w:rsid w:val="007947F9"/>
    <w:rsid w:val="00796B3D"/>
    <w:rsid w:val="00797E8E"/>
    <w:rsid w:val="007A4696"/>
    <w:rsid w:val="007B1213"/>
    <w:rsid w:val="007C3CB3"/>
    <w:rsid w:val="007C79B4"/>
    <w:rsid w:val="007D4954"/>
    <w:rsid w:val="007E108C"/>
    <w:rsid w:val="007E3BB8"/>
    <w:rsid w:val="007E3F1F"/>
    <w:rsid w:val="007E6147"/>
    <w:rsid w:val="007E6242"/>
    <w:rsid w:val="00802248"/>
    <w:rsid w:val="008052C0"/>
    <w:rsid w:val="00814122"/>
    <w:rsid w:val="00815FAE"/>
    <w:rsid w:val="00820E88"/>
    <w:rsid w:val="00826FEE"/>
    <w:rsid w:val="0083254B"/>
    <w:rsid w:val="00840FD6"/>
    <w:rsid w:val="00843E1D"/>
    <w:rsid w:val="00845186"/>
    <w:rsid w:val="00854108"/>
    <w:rsid w:val="00855CB3"/>
    <w:rsid w:val="00871214"/>
    <w:rsid w:val="008734D5"/>
    <w:rsid w:val="00880EA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34B5"/>
    <w:rsid w:val="009368C8"/>
    <w:rsid w:val="00936EE1"/>
    <w:rsid w:val="00946D56"/>
    <w:rsid w:val="009517D6"/>
    <w:rsid w:val="0095516B"/>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56157"/>
    <w:rsid w:val="00A74FFD"/>
    <w:rsid w:val="00A77838"/>
    <w:rsid w:val="00A848DA"/>
    <w:rsid w:val="00A871B0"/>
    <w:rsid w:val="00A87410"/>
    <w:rsid w:val="00AA1EB3"/>
    <w:rsid w:val="00AB2098"/>
    <w:rsid w:val="00AB2B5C"/>
    <w:rsid w:val="00AB3C3E"/>
    <w:rsid w:val="00AB3C58"/>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3096E"/>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D27FB"/>
    <w:rsid w:val="00CF0694"/>
    <w:rsid w:val="00CF3838"/>
    <w:rsid w:val="00CF71F6"/>
    <w:rsid w:val="00D000DB"/>
    <w:rsid w:val="00D0120B"/>
    <w:rsid w:val="00D01AC8"/>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21BA"/>
    <w:rsid w:val="00DA375C"/>
    <w:rsid w:val="00DB6149"/>
    <w:rsid w:val="00DC4CD8"/>
    <w:rsid w:val="00DC63BC"/>
    <w:rsid w:val="00DC6F5B"/>
    <w:rsid w:val="00DC7532"/>
    <w:rsid w:val="00DD73EF"/>
    <w:rsid w:val="00DE0FCF"/>
    <w:rsid w:val="00DF0F6F"/>
    <w:rsid w:val="00E0369A"/>
    <w:rsid w:val="00E12B55"/>
    <w:rsid w:val="00E52C4E"/>
    <w:rsid w:val="00E6069B"/>
    <w:rsid w:val="00E61279"/>
    <w:rsid w:val="00E96C68"/>
    <w:rsid w:val="00E97AB4"/>
    <w:rsid w:val="00EC2E9E"/>
    <w:rsid w:val="00EC4B50"/>
    <w:rsid w:val="00ED5403"/>
    <w:rsid w:val="00EE220F"/>
    <w:rsid w:val="00EF0C35"/>
    <w:rsid w:val="00F01287"/>
    <w:rsid w:val="00F1128D"/>
    <w:rsid w:val="00F14424"/>
    <w:rsid w:val="00F158FE"/>
    <w:rsid w:val="00F25D41"/>
    <w:rsid w:val="00F32BFD"/>
    <w:rsid w:val="00F32D7E"/>
    <w:rsid w:val="00F46411"/>
    <w:rsid w:val="00F4703A"/>
    <w:rsid w:val="00F5241A"/>
    <w:rsid w:val="00F61588"/>
    <w:rsid w:val="00F7653C"/>
    <w:rsid w:val="00F86708"/>
    <w:rsid w:val="00F87D56"/>
    <w:rsid w:val="00F92924"/>
    <w:rsid w:val="00F92BC2"/>
    <w:rsid w:val="00F93F64"/>
    <w:rsid w:val="00FA10AF"/>
    <w:rsid w:val="00FA247C"/>
    <w:rsid w:val="00FA7462"/>
    <w:rsid w:val="00FB4384"/>
    <w:rsid w:val="00FB5E70"/>
    <w:rsid w:val="00FD61A1"/>
    <w:rsid w:val="00FD691B"/>
    <w:rsid w:val="00FD7D54"/>
    <w:rsid w:val="00FE1C5D"/>
    <w:rsid w:val="00FE34BF"/>
    <w:rsid w:val="00FE6D32"/>
    <w:rsid w:val="00FE7ACB"/>
    <w:rsid w:val="00FF2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03F4F"/>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60C"/>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50460C"/>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rsid w:val="0050460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50460C"/>
  </w:style>
  <w:style w:type="paragraph" w:customStyle="1" w:styleId="Style1">
    <w:name w:val="Style1"/>
    <w:basedOn w:val="Normal"/>
    <w:uiPriority w:val="99"/>
    <w:rsid w:val="0050460C"/>
    <w:pPr>
      <w:spacing w:line="525" w:lineRule="exact"/>
      <w:jc w:val="center"/>
    </w:pPr>
  </w:style>
  <w:style w:type="paragraph" w:customStyle="1" w:styleId="Style2">
    <w:name w:val="Style2"/>
    <w:basedOn w:val="Normal"/>
    <w:uiPriority w:val="99"/>
    <w:rsid w:val="0050460C"/>
  </w:style>
  <w:style w:type="paragraph" w:customStyle="1" w:styleId="Style3">
    <w:name w:val="Style3"/>
    <w:basedOn w:val="Normal"/>
    <w:uiPriority w:val="99"/>
    <w:rsid w:val="0050460C"/>
    <w:pPr>
      <w:spacing w:line="266" w:lineRule="exact"/>
    </w:pPr>
  </w:style>
  <w:style w:type="paragraph" w:customStyle="1" w:styleId="Style4">
    <w:name w:val="Style4"/>
    <w:basedOn w:val="Normal"/>
    <w:uiPriority w:val="99"/>
    <w:rsid w:val="0050460C"/>
  </w:style>
  <w:style w:type="paragraph" w:customStyle="1" w:styleId="Style5">
    <w:name w:val="Style5"/>
    <w:basedOn w:val="Normal"/>
    <w:uiPriority w:val="99"/>
    <w:rsid w:val="0050460C"/>
    <w:pPr>
      <w:spacing w:line="280" w:lineRule="exact"/>
    </w:pPr>
  </w:style>
  <w:style w:type="paragraph" w:customStyle="1" w:styleId="Style6">
    <w:name w:val="Style6"/>
    <w:basedOn w:val="Normal"/>
    <w:uiPriority w:val="99"/>
    <w:rsid w:val="0050460C"/>
    <w:pPr>
      <w:spacing w:line="266" w:lineRule="exact"/>
      <w:ind w:firstLine="825"/>
    </w:pPr>
  </w:style>
  <w:style w:type="paragraph" w:customStyle="1" w:styleId="Style7">
    <w:name w:val="Style7"/>
    <w:basedOn w:val="Normal"/>
    <w:uiPriority w:val="99"/>
    <w:rsid w:val="0050460C"/>
    <w:pPr>
      <w:spacing w:line="273" w:lineRule="exact"/>
    </w:pPr>
  </w:style>
  <w:style w:type="paragraph" w:customStyle="1" w:styleId="Style8">
    <w:name w:val="Style8"/>
    <w:basedOn w:val="Normal"/>
    <w:uiPriority w:val="99"/>
    <w:rsid w:val="0050460C"/>
    <w:pPr>
      <w:spacing w:line="266" w:lineRule="exact"/>
      <w:ind w:hanging="482"/>
    </w:pPr>
  </w:style>
  <w:style w:type="paragraph" w:customStyle="1" w:styleId="Style9">
    <w:name w:val="Style9"/>
    <w:basedOn w:val="Normal"/>
    <w:uiPriority w:val="99"/>
    <w:rsid w:val="0050460C"/>
    <w:pPr>
      <w:spacing w:line="269" w:lineRule="exact"/>
      <w:ind w:firstLine="370"/>
    </w:pPr>
  </w:style>
  <w:style w:type="paragraph" w:customStyle="1" w:styleId="Style10">
    <w:name w:val="Style10"/>
    <w:basedOn w:val="Normal"/>
    <w:uiPriority w:val="99"/>
    <w:rsid w:val="0050460C"/>
  </w:style>
  <w:style w:type="paragraph" w:customStyle="1" w:styleId="Style11">
    <w:name w:val="Style11"/>
    <w:basedOn w:val="Normal"/>
    <w:uiPriority w:val="99"/>
    <w:rsid w:val="0050460C"/>
  </w:style>
  <w:style w:type="paragraph" w:customStyle="1" w:styleId="Style12">
    <w:name w:val="Style12"/>
    <w:basedOn w:val="Normal"/>
    <w:uiPriority w:val="99"/>
    <w:rsid w:val="0050460C"/>
  </w:style>
  <w:style w:type="character" w:customStyle="1" w:styleId="FontStyle14">
    <w:name w:val="Font Style14"/>
    <w:uiPriority w:val="99"/>
    <w:rsid w:val="0050460C"/>
    <w:rPr>
      <w:rFonts w:ascii="Arial" w:hAnsi="Arial" w:cs="Arial"/>
      <w:sz w:val="20"/>
      <w:szCs w:val="20"/>
    </w:rPr>
  </w:style>
  <w:style w:type="character" w:customStyle="1" w:styleId="FontStyle15">
    <w:name w:val="Font Style15"/>
    <w:uiPriority w:val="99"/>
    <w:rsid w:val="0050460C"/>
    <w:rPr>
      <w:rFonts w:ascii="Arial" w:hAnsi="Arial" w:cs="Arial"/>
      <w:b/>
      <w:bCs/>
      <w:sz w:val="20"/>
      <w:szCs w:val="20"/>
    </w:rPr>
  </w:style>
  <w:style w:type="character" w:customStyle="1" w:styleId="FontStyle16">
    <w:name w:val="Font Style16"/>
    <w:uiPriority w:val="99"/>
    <w:rsid w:val="0050460C"/>
    <w:rPr>
      <w:rFonts w:ascii="Arial" w:hAnsi="Arial" w:cs="Arial"/>
      <w:sz w:val="26"/>
      <w:szCs w:val="26"/>
    </w:rPr>
  </w:style>
  <w:style w:type="character" w:customStyle="1" w:styleId="FontStyle17">
    <w:name w:val="Font Style17"/>
    <w:uiPriority w:val="99"/>
    <w:rsid w:val="0050460C"/>
    <w:rPr>
      <w:rFonts w:ascii="Arial" w:hAnsi="Arial" w:cs="Arial"/>
      <w:b/>
      <w:bCs/>
      <w:sz w:val="18"/>
      <w:szCs w:val="18"/>
    </w:rPr>
  </w:style>
  <w:style w:type="character" w:customStyle="1" w:styleId="FontStyle18">
    <w:name w:val="Font Style18"/>
    <w:uiPriority w:val="99"/>
    <w:rsid w:val="0050460C"/>
    <w:rPr>
      <w:rFonts w:ascii="Arial" w:hAnsi="Arial" w:cs="Arial"/>
      <w:sz w:val="18"/>
      <w:szCs w:val="18"/>
    </w:rPr>
  </w:style>
  <w:style w:type="character" w:customStyle="1" w:styleId="FontStyle19">
    <w:name w:val="Font Style19"/>
    <w:uiPriority w:val="99"/>
    <w:rsid w:val="0050460C"/>
    <w:rPr>
      <w:rFonts w:ascii="Arial" w:hAnsi="Arial" w:cs="Arial"/>
      <w:sz w:val="16"/>
      <w:szCs w:val="16"/>
    </w:rPr>
  </w:style>
  <w:style w:type="paragraph" w:styleId="Sansinterligne">
    <w:name w:val="No Spacing"/>
    <w:link w:val="SansinterligneCar"/>
    <w:uiPriority w:val="1"/>
    <w:rsid w:val="0050460C"/>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50460C"/>
    <w:pPr>
      <w:tabs>
        <w:tab w:val="center" w:pos="4536"/>
        <w:tab w:val="right" w:pos="9072"/>
      </w:tabs>
    </w:pPr>
  </w:style>
  <w:style w:type="character" w:customStyle="1" w:styleId="En-tteCar">
    <w:name w:val="En-tête Car"/>
    <w:link w:val="En-tte"/>
    <w:uiPriority w:val="99"/>
    <w:rsid w:val="0050460C"/>
    <w:rPr>
      <w:rFonts w:ascii="Tahoma" w:eastAsia="Times New Roman" w:hAnsi="Tahoma" w:cs="Calibri"/>
      <w:szCs w:val="24"/>
    </w:rPr>
  </w:style>
  <w:style w:type="paragraph" w:styleId="Pieddepage">
    <w:name w:val="footer"/>
    <w:basedOn w:val="Normal"/>
    <w:link w:val="PieddepageCar"/>
    <w:uiPriority w:val="99"/>
    <w:unhideWhenUsed/>
    <w:rsid w:val="0050460C"/>
    <w:pPr>
      <w:tabs>
        <w:tab w:val="center" w:pos="4536"/>
        <w:tab w:val="right" w:pos="9072"/>
      </w:tabs>
    </w:pPr>
  </w:style>
  <w:style w:type="character" w:customStyle="1" w:styleId="PieddepageCar">
    <w:name w:val="Pied de page Car"/>
    <w:link w:val="Pieddepage"/>
    <w:uiPriority w:val="99"/>
    <w:rsid w:val="0050460C"/>
    <w:rPr>
      <w:rFonts w:ascii="Tahoma" w:eastAsia="Times New Roman" w:hAnsi="Tahoma" w:cs="Calibri"/>
      <w:szCs w:val="24"/>
    </w:rPr>
  </w:style>
  <w:style w:type="character" w:customStyle="1" w:styleId="Titre2Car">
    <w:name w:val="Titre 2 Car"/>
    <w:link w:val="Titre2"/>
    <w:rsid w:val="0050460C"/>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50460C"/>
    <w:rPr>
      <w:rFonts w:ascii="Times New Roman" w:eastAsia="Times New Roman" w:hAnsi="Times New Roman" w:cs="Calibri"/>
      <w:sz w:val="24"/>
      <w:szCs w:val="24"/>
    </w:rPr>
  </w:style>
  <w:style w:type="paragraph" w:styleId="Paragraphedeliste">
    <w:name w:val="List Paragraph"/>
    <w:basedOn w:val="Normal"/>
    <w:uiPriority w:val="34"/>
    <w:rsid w:val="0050460C"/>
    <w:pPr>
      <w:ind w:left="708"/>
    </w:pPr>
  </w:style>
  <w:style w:type="paragraph" w:customStyle="1" w:styleId="Questions">
    <w:name w:val="Questions"/>
    <w:basedOn w:val="Normal"/>
    <w:link w:val="QuestionsCar"/>
    <w:autoRedefine/>
    <w:qFormat/>
    <w:rsid w:val="0050460C"/>
    <w:pPr>
      <w:numPr>
        <w:numId w:val="5"/>
      </w:numPr>
      <w:tabs>
        <w:tab w:val="left" w:pos="412"/>
      </w:tabs>
      <w:spacing w:before="5"/>
    </w:pPr>
    <w:rPr>
      <w:rFonts w:cs="Tahoma"/>
      <w:b/>
      <w:sz w:val="24"/>
    </w:rPr>
  </w:style>
  <w:style w:type="character" w:customStyle="1" w:styleId="QuestionsCar">
    <w:name w:val="Questions Car"/>
    <w:link w:val="Questions"/>
    <w:rsid w:val="0050460C"/>
    <w:rPr>
      <w:rFonts w:ascii="Tahoma" w:eastAsia="Times New Roman" w:hAnsi="Tahoma" w:cs="Tahoma"/>
      <w:b/>
      <w:sz w:val="24"/>
      <w:szCs w:val="24"/>
    </w:rPr>
  </w:style>
  <w:style w:type="paragraph" w:customStyle="1" w:styleId="TAF">
    <w:name w:val="TAF"/>
    <w:basedOn w:val="Sansinterligne"/>
    <w:link w:val="TAFCar"/>
    <w:qFormat/>
    <w:rsid w:val="0050460C"/>
    <w:pPr>
      <w:jc w:val="center"/>
    </w:pPr>
    <w:rPr>
      <w:rFonts w:ascii="Tahoma" w:hAnsi="Tahoma" w:cs="Tahoma"/>
      <w:b/>
      <w:sz w:val="20"/>
      <w:szCs w:val="20"/>
      <w:u w:val="single"/>
    </w:rPr>
  </w:style>
  <w:style w:type="character" w:customStyle="1" w:styleId="TAFCar">
    <w:name w:val="TAF Car"/>
    <w:link w:val="TAF"/>
    <w:rsid w:val="0050460C"/>
    <w:rPr>
      <w:rFonts w:ascii="Tahoma" w:eastAsia="Times New Roman" w:hAnsi="Tahoma" w:cs="Tahoma"/>
      <w:b/>
      <w:u w:val="single"/>
    </w:rPr>
  </w:style>
  <w:style w:type="paragraph" w:customStyle="1" w:styleId="Lettres">
    <w:name w:val="Lettres"/>
    <w:basedOn w:val="Normal"/>
    <w:link w:val="LettresCar"/>
    <w:qFormat/>
    <w:rsid w:val="0050460C"/>
    <w:pPr>
      <w:numPr>
        <w:numId w:val="1"/>
      </w:numPr>
      <w:spacing w:after="60"/>
    </w:pPr>
    <w:rPr>
      <w:b/>
      <w:sz w:val="24"/>
    </w:rPr>
  </w:style>
  <w:style w:type="character" w:customStyle="1" w:styleId="LettresCar">
    <w:name w:val="Lettres Car"/>
    <w:link w:val="Lettres"/>
    <w:rsid w:val="0050460C"/>
    <w:rPr>
      <w:rFonts w:ascii="Tahoma" w:eastAsia="Times New Roman" w:hAnsi="Tahoma" w:cs="Calibri"/>
      <w:b/>
      <w:sz w:val="24"/>
      <w:szCs w:val="24"/>
    </w:rPr>
  </w:style>
  <w:style w:type="paragraph" w:styleId="Titre">
    <w:name w:val="Title"/>
    <w:basedOn w:val="Normal"/>
    <w:next w:val="Normal"/>
    <w:link w:val="TitreCar"/>
    <w:uiPriority w:val="10"/>
    <w:qFormat/>
    <w:rsid w:val="0050460C"/>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50460C"/>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50460C"/>
    <w:pPr>
      <w:spacing w:after="60"/>
      <w:jc w:val="center"/>
      <w:outlineLvl w:val="1"/>
    </w:pPr>
    <w:rPr>
      <w:rFonts w:ascii="Cambria" w:hAnsi="Cambria"/>
    </w:rPr>
  </w:style>
  <w:style w:type="character" w:customStyle="1" w:styleId="Sous-titreCar">
    <w:name w:val="Sous-titre Car"/>
    <w:link w:val="Sous-titre"/>
    <w:uiPriority w:val="11"/>
    <w:rsid w:val="0050460C"/>
    <w:rPr>
      <w:rFonts w:ascii="Cambria" w:eastAsia="Times New Roman" w:hAnsi="Cambria" w:cs="Calibri"/>
      <w:szCs w:val="24"/>
    </w:rPr>
  </w:style>
  <w:style w:type="table" w:styleId="Grilledutableau">
    <w:name w:val="Table Grid"/>
    <w:basedOn w:val="TableauNormal"/>
    <w:uiPriority w:val="59"/>
    <w:rsid w:val="0050460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50460C"/>
    <w:rPr>
      <w:rFonts w:ascii="Times New Roman" w:hAnsi="Times New Roman" w:cs="Times New Roman"/>
      <w:b/>
      <w:bCs/>
      <w:sz w:val="20"/>
      <w:szCs w:val="20"/>
    </w:rPr>
  </w:style>
  <w:style w:type="paragraph" w:customStyle="1" w:styleId="Style14">
    <w:name w:val="Style14"/>
    <w:basedOn w:val="Normal"/>
    <w:link w:val="Style14Car"/>
    <w:uiPriority w:val="99"/>
    <w:rsid w:val="0050460C"/>
    <w:pPr>
      <w:spacing w:line="252" w:lineRule="exact"/>
      <w:ind w:hanging="405"/>
    </w:pPr>
  </w:style>
  <w:style w:type="character" w:customStyle="1" w:styleId="FontStyle21">
    <w:name w:val="Font Style21"/>
    <w:uiPriority w:val="99"/>
    <w:rsid w:val="0050460C"/>
    <w:rPr>
      <w:rFonts w:ascii="Book Antiqua" w:hAnsi="Book Antiqua" w:cs="Book Antiqua"/>
      <w:spacing w:val="20"/>
      <w:sz w:val="20"/>
      <w:szCs w:val="20"/>
    </w:rPr>
  </w:style>
  <w:style w:type="character" w:customStyle="1" w:styleId="FontStyle22">
    <w:name w:val="Font Style22"/>
    <w:uiPriority w:val="99"/>
    <w:rsid w:val="0050460C"/>
    <w:rPr>
      <w:rFonts w:ascii="Arial" w:hAnsi="Arial" w:cs="Arial"/>
      <w:b/>
      <w:bCs/>
      <w:spacing w:val="20"/>
      <w:sz w:val="18"/>
      <w:szCs w:val="18"/>
    </w:rPr>
  </w:style>
  <w:style w:type="character" w:customStyle="1" w:styleId="FontStyle13">
    <w:name w:val="Font Style13"/>
    <w:uiPriority w:val="99"/>
    <w:rsid w:val="0050460C"/>
    <w:rPr>
      <w:rFonts w:ascii="Arial Unicode MS" w:eastAsia="Arial Unicode MS" w:cs="Arial Unicode MS"/>
      <w:sz w:val="20"/>
      <w:szCs w:val="20"/>
    </w:rPr>
  </w:style>
  <w:style w:type="character" w:customStyle="1" w:styleId="FontStyle12">
    <w:name w:val="Font Style12"/>
    <w:uiPriority w:val="99"/>
    <w:rsid w:val="0050460C"/>
    <w:rPr>
      <w:rFonts w:ascii="Arial Unicode MS" w:eastAsia="Arial Unicode MS" w:cs="Arial Unicode MS"/>
      <w:b/>
      <w:bCs/>
      <w:sz w:val="20"/>
      <w:szCs w:val="20"/>
    </w:rPr>
  </w:style>
  <w:style w:type="character" w:customStyle="1" w:styleId="FontStyle23">
    <w:name w:val="Font Style23"/>
    <w:uiPriority w:val="99"/>
    <w:rsid w:val="0050460C"/>
    <w:rPr>
      <w:rFonts w:ascii="Times New Roman" w:hAnsi="Times New Roman" w:cs="Times New Roman"/>
      <w:sz w:val="20"/>
      <w:szCs w:val="20"/>
    </w:rPr>
  </w:style>
  <w:style w:type="character" w:customStyle="1" w:styleId="FontStyle24">
    <w:name w:val="Font Style24"/>
    <w:uiPriority w:val="99"/>
    <w:rsid w:val="0050460C"/>
    <w:rPr>
      <w:rFonts w:ascii="Tahoma" w:hAnsi="Tahoma" w:cs="Tahoma"/>
      <w:b/>
      <w:bCs/>
      <w:sz w:val="22"/>
      <w:szCs w:val="22"/>
    </w:rPr>
  </w:style>
  <w:style w:type="character" w:customStyle="1" w:styleId="FontStyle25">
    <w:name w:val="Font Style25"/>
    <w:uiPriority w:val="99"/>
    <w:rsid w:val="0050460C"/>
    <w:rPr>
      <w:rFonts w:ascii="Times New Roman" w:hAnsi="Times New Roman" w:cs="Times New Roman"/>
      <w:b/>
      <w:bCs/>
      <w:i/>
      <w:iCs/>
      <w:sz w:val="20"/>
      <w:szCs w:val="20"/>
    </w:rPr>
  </w:style>
  <w:style w:type="paragraph" w:customStyle="1" w:styleId="Style13">
    <w:name w:val="Style13"/>
    <w:basedOn w:val="Normal"/>
    <w:uiPriority w:val="99"/>
    <w:rsid w:val="0050460C"/>
  </w:style>
  <w:style w:type="character" w:customStyle="1" w:styleId="FontStyle26">
    <w:name w:val="Font Style26"/>
    <w:uiPriority w:val="99"/>
    <w:rsid w:val="0050460C"/>
    <w:rPr>
      <w:rFonts w:ascii="Times New Roman" w:hAnsi="Times New Roman" w:cs="Times New Roman"/>
      <w:i/>
      <w:iCs/>
      <w:sz w:val="20"/>
      <w:szCs w:val="20"/>
    </w:rPr>
  </w:style>
  <w:style w:type="paragraph" w:customStyle="1" w:styleId="AnneSujet">
    <w:name w:val="AnnéeSujet"/>
    <w:basedOn w:val="Titre"/>
    <w:link w:val="AnneSujetCar"/>
    <w:qFormat/>
    <w:rsid w:val="0050460C"/>
    <w:rPr>
      <w:rFonts w:ascii="Tahoma" w:hAnsi="Tahoma" w:cs="Tahoma"/>
      <w:b/>
      <w:sz w:val="36"/>
      <w:szCs w:val="36"/>
    </w:rPr>
  </w:style>
  <w:style w:type="paragraph" w:customStyle="1" w:styleId="Dossier">
    <w:name w:val="Dossier"/>
    <w:basedOn w:val="Normal"/>
    <w:autoRedefine/>
    <w:uiPriority w:val="99"/>
    <w:rsid w:val="0050460C"/>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50460C"/>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50460C"/>
  </w:style>
  <w:style w:type="paragraph" w:customStyle="1" w:styleId="Style16">
    <w:name w:val="Style16"/>
    <w:basedOn w:val="Normal"/>
    <w:uiPriority w:val="99"/>
    <w:rsid w:val="0050460C"/>
    <w:pPr>
      <w:spacing w:line="273" w:lineRule="exact"/>
      <w:ind w:hanging="412"/>
    </w:pPr>
  </w:style>
  <w:style w:type="paragraph" w:customStyle="1" w:styleId="Style17">
    <w:name w:val="Style17"/>
    <w:basedOn w:val="Normal"/>
    <w:uiPriority w:val="99"/>
    <w:rsid w:val="0050460C"/>
    <w:pPr>
      <w:spacing w:line="280" w:lineRule="exact"/>
      <w:jc w:val="center"/>
    </w:pPr>
  </w:style>
  <w:style w:type="character" w:customStyle="1" w:styleId="FontStyle27">
    <w:name w:val="Font Style27"/>
    <w:uiPriority w:val="99"/>
    <w:rsid w:val="0050460C"/>
    <w:rPr>
      <w:rFonts w:ascii="Arial" w:hAnsi="Arial" w:cs="Arial"/>
      <w:b/>
      <w:bCs/>
      <w:sz w:val="20"/>
      <w:szCs w:val="20"/>
    </w:rPr>
  </w:style>
  <w:style w:type="paragraph" w:customStyle="1" w:styleId="Style18">
    <w:name w:val="Style18"/>
    <w:basedOn w:val="Normal"/>
    <w:uiPriority w:val="99"/>
    <w:rsid w:val="0050460C"/>
  </w:style>
  <w:style w:type="character" w:customStyle="1" w:styleId="FontStyle29">
    <w:name w:val="Font Style29"/>
    <w:uiPriority w:val="99"/>
    <w:rsid w:val="0050460C"/>
    <w:rPr>
      <w:rFonts w:ascii="Times New Roman" w:hAnsi="Times New Roman" w:cs="Times New Roman"/>
      <w:b/>
      <w:bCs/>
      <w:sz w:val="22"/>
      <w:szCs w:val="22"/>
    </w:rPr>
  </w:style>
  <w:style w:type="paragraph" w:customStyle="1" w:styleId="Question">
    <w:name w:val="Question"/>
    <w:basedOn w:val="Style14"/>
    <w:link w:val="QuestionCar1"/>
    <w:rsid w:val="0050460C"/>
    <w:pPr>
      <w:tabs>
        <w:tab w:val="left" w:pos="412"/>
      </w:tabs>
      <w:spacing w:before="5" w:line="240" w:lineRule="auto"/>
      <w:ind w:left="714" w:hanging="357"/>
    </w:pPr>
    <w:rPr>
      <w:rFonts w:cs="Tahoma"/>
    </w:rPr>
  </w:style>
  <w:style w:type="character" w:customStyle="1" w:styleId="Style14Car">
    <w:name w:val="Style14 Car"/>
    <w:link w:val="Style14"/>
    <w:uiPriority w:val="99"/>
    <w:rsid w:val="0050460C"/>
    <w:rPr>
      <w:rFonts w:ascii="Tahoma" w:eastAsia="Times New Roman" w:hAnsi="Tahoma" w:cs="Calibri"/>
      <w:szCs w:val="24"/>
    </w:rPr>
  </w:style>
  <w:style w:type="character" w:customStyle="1" w:styleId="QuestionCar">
    <w:name w:val="Question Car"/>
    <w:rsid w:val="0050460C"/>
    <w:rPr>
      <w:rFonts w:ascii="Times New Roman" w:eastAsia="Times New Roman" w:hAnsi="Times New Roman"/>
      <w:sz w:val="24"/>
      <w:szCs w:val="24"/>
    </w:rPr>
  </w:style>
  <w:style w:type="character" w:customStyle="1" w:styleId="QuestionCar1">
    <w:name w:val="Question Car1"/>
    <w:link w:val="Question"/>
    <w:rsid w:val="0050460C"/>
    <w:rPr>
      <w:rFonts w:ascii="Tahoma" w:eastAsia="Times New Roman" w:hAnsi="Tahoma" w:cs="Tahoma"/>
      <w:szCs w:val="24"/>
    </w:rPr>
  </w:style>
  <w:style w:type="paragraph" w:customStyle="1" w:styleId="Partie">
    <w:name w:val="Partie"/>
    <w:basedOn w:val="Normal"/>
    <w:link w:val="PartieCar"/>
    <w:qFormat/>
    <w:rsid w:val="0050460C"/>
    <w:rPr>
      <w:rFonts w:cs="Tahoma"/>
      <w:b/>
      <w:sz w:val="24"/>
      <w:u w:val="single"/>
    </w:rPr>
  </w:style>
  <w:style w:type="character" w:customStyle="1" w:styleId="PartieCar">
    <w:name w:val="Partie Car"/>
    <w:link w:val="Partie"/>
    <w:rsid w:val="0050460C"/>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50460C"/>
    <w:pPr>
      <w:numPr>
        <w:numId w:val="3"/>
      </w:numPr>
      <w:spacing w:after="202" w:line="276" w:lineRule="auto"/>
    </w:pPr>
    <w:rPr>
      <w:rFonts w:cs="Tahoma"/>
      <w:color w:val="000000"/>
      <w:szCs w:val="20"/>
    </w:rPr>
  </w:style>
  <w:style w:type="character" w:customStyle="1" w:styleId="QuestionsManaCar">
    <w:name w:val="QuestionsMana Car"/>
    <w:link w:val="QuestionsMana"/>
    <w:locked/>
    <w:rsid w:val="0050460C"/>
    <w:rPr>
      <w:rFonts w:ascii="Tahoma" w:eastAsia="Times New Roman" w:hAnsi="Tahoma" w:cs="Tahoma"/>
      <w:color w:val="000000"/>
    </w:rPr>
  </w:style>
  <w:style w:type="paragraph" w:customStyle="1" w:styleId="AnnexeMana">
    <w:name w:val="AnnexeMana"/>
    <w:basedOn w:val="Normal"/>
    <w:link w:val="AnnexeManaCar"/>
    <w:qFormat/>
    <w:rsid w:val="0050460C"/>
    <w:pPr>
      <w:spacing w:line="276" w:lineRule="auto"/>
    </w:pPr>
    <w:rPr>
      <w:rFonts w:cs="Tahoma"/>
      <w:b/>
      <w:bCs/>
      <w:color w:val="000000"/>
      <w:sz w:val="22"/>
      <w:szCs w:val="20"/>
      <w:u w:val="single"/>
    </w:rPr>
  </w:style>
  <w:style w:type="character" w:customStyle="1" w:styleId="AnnexeManaCar">
    <w:name w:val="AnnexeMana Car"/>
    <w:link w:val="AnnexeMana"/>
    <w:locked/>
    <w:rsid w:val="0050460C"/>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7CD9-199D-4B59-94E4-0AD193F2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27</TotalTime>
  <Pages>4</Pages>
  <Words>1010</Words>
  <Characters>5558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6555</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http://www.stgcfe.fr;www.stmg.education</dc:creator>
  <cp:keywords/>
  <cp:lastModifiedBy>www.stgcfe.fr - www.stmg.education</cp:lastModifiedBy>
  <cp:revision>3</cp:revision>
  <dcterms:created xsi:type="dcterms:W3CDTF">2018-06-25T10:01:00Z</dcterms:created>
  <dcterms:modified xsi:type="dcterms:W3CDTF">2018-06-25T10:33:00Z</dcterms:modified>
</cp:coreProperties>
</file>