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5F59" w:rsidRDefault="00115F59" w:rsidP="00115F59">
      <w:pPr>
        <w:pStyle w:val="Titre"/>
        <w:rPr>
          <w:rFonts w:ascii="Tahoma" w:hAnsi="Tahoma" w:cs="Tahoma"/>
          <w:b/>
          <w:sz w:val="36"/>
          <w:szCs w:val="36"/>
        </w:rPr>
      </w:pPr>
    </w:p>
    <w:p w:rsidR="00115F59" w:rsidRPr="00000C34" w:rsidRDefault="00115F59" w:rsidP="009D2F18">
      <w:pPr>
        <w:pStyle w:val="Titre"/>
        <w:jc w:val="left"/>
        <w:rPr>
          <w:rFonts w:ascii="Tahoma" w:hAnsi="Tahoma" w:cs="Tahoma"/>
          <w:b/>
          <w:sz w:val="30"/>
          <w:szCs w:val="30"/>
        </w:rPr>
      </w:pPr>
      <w:r w:rsidRPr="00000C34">
        <w:rPr>
          <w:rFonts w:ascii="Tahoma" w:hAnsi="Tahoma" w:cs="Tahoma"/>
          <w:b/>
          <w:sz w:val="30"/>
          <w:szCs w:val="30"/>
        </w:rPr>
        <w:t>201</w:t>
      </w:r>
      <w:r w:rsidR="00FA7831">
        <w:rPr>
          <w:rFonts w:ascii="Tahoma" w:hAnsi="Tahoma" w:cs="Tahoma"/>
          <w:b/>
          <w:sz w:val="30"/>
          <w:szCs w:val="30"/>
        </w:rPr>
        <w:t>8</w:t>
      </w:r>
      <w:r w:rsidRPr="00000C34">
        <w:rPr>
          <w:rFonts w:ascii="Tahoma" w:hAnsi="Tahoma" w:cs="Tahoma"/>
          <w:b/>
          <w:sz w:val="30"/>
          <w:szCs w:val="30"/>
        </w:rPr>
        <w:t xml:space="preserve"> – SUJET </w:t>
      </w:r>
      <w:r w:rsidR="005A34B4" w:rsidRPr="00000C34">
        <w:rPr>
          <w:rFonts w:ascii="Tahoma" w:hAnsi="Tahoma" w:cs="Tahoma"/>
          <w:b/>
          <w:sz w:val="30"/>
          <w:szCs w:val="30"/>
        </w:rPr>
        <w:t>D’ÉCO/</w:t>
      </w:r>
      <w:r w:rsidR="00923F61" w:rsidRPr="00000C34">
        <w:rPr>
          <w:rFonts w:ascii="Tahoma" w:hAnsi="Tahoma" w:cs="Tahoma"/>
          <w:b/>
          <w:sz w:val="30"/>
          <w:szCs w:val="30"/>
        </w:rPr>
        <w:t>DROIT</w:t>
      </w:r>
      <w:r w:rsidR="00A20E4D" w:rsidRPr="00000C34">
        <w:rPr>
          <w:rFonts w:ascii="Tahoma" w:hAnsi="Tahoma" w:cs="Tahoma"/>
          <w:b/>
          <w:sz w:val="30"/>
          <w:szCs w:val="30"/>
        </w:rPr>
        <w:t xml:space="preserve"> </w:t>
      </w:r>
      <w:r w:rsidR="00A44B5B">
        <w:rPr>
          <w:rFonts w:ascii="Tahoma" w:hAnsi="Tahoma" w:cs="Tahoma"/>
          <w:b/>
          <w:sz w:val="30"/>
          <w:szCs w:val="30"/>
        </w:rPr>
        <w:t>Centres de l’étranger</w:t>
      </w:r>
      <w:r w:rsidR="00923F61" w:rsidRPr="00000C34">
        <w:rPr>
          <w:rFonts w:ascii="Tahoma" w:hAnsi="Tahoma" w:cs="Tahoma"/>
          <w:b/>
          <w:sz w:val="30"/>
          <w:szCs w:val="30"/>
        </w:rPr>
        <w:t xml:space="preserve"> </w:t>
      </w:r>
      <w:r w:rsidR="00A20E4D" w:rsidRPr="00000C34">
        <w:rPr>
          <w:rFonts w:ascii="Tahoma" w:hAnsi="Tahoma" w:cs="Tahoma"/>
          <w:b/>
          <w:sz w:val="30"/>
          <w:szCs w:val="30"/>
        </w:rPr>
        <w:t xml:space="preserve">– Partie </w:t>
      </w:r>
      <w:r w:rsidR="009D2F18" w:rsidRPr="00000C34">
        <w:rPr>
          <w:rFonts w:ascii="Tahoma" w:hAnsi="Tahoma" w:cs="Tahoma"/>
          <w:b/>
          <w:sz w:val="30"/>
          <w:szCs w:val="30"/>
        </w:rPr>
        <w:t>Économie</w:t>
      </w:r>
    </w:p>
    <w:p w:rsidR="002F0931" w:rsidRDefault="002F0931" w:rsidP="002F0931">
      <w:pPr>
        <w:rPr>
          <w:rStyle w:val="FontStyle15"/>
          <w:rFonts w:ascii="Tahoma" w:hAnsi="Tahoma" w:cs="Tahoma"/>
          <w:b w:val="0"/>
          <w:bCs w:val="0"/>
        </w:rPr>
      </w:pPr>
    </w:p>
    <w:p w:rsidR="002F0931" w:rsidRDefault="002F0931" w:rsidP="002F0931">
      <w:pPr>
        <w:rPr>
          <w:rStyle w:val="FontStyle15"/>
          <w:rFonts w:ascii="Tahoma" w:hAnsi="Tahoma" w:cs="Tahoma"/>
          <w:b w:val="0"/>
          <w:bCs w:val="0"/>
        </w:rPr>
      </w:pPr>
    </w:p>
    <w:p w:rsidR="00F61588" w:rsidRPr="009D2F18" w:rsidRDefault="00F61588" w:rsidP="00F61588">
      <w:pPr>
        <w:rPr>
          <w:rStyle w:val="FontStyle15"/>
          <w:rFonts w:ascii="Tahoma" w:hAnsi="Tahoma" w:cs="Tahoma"/>
          <w:bCs w:val="0"/>
        </w:rPr>
      </w:pPr>
      <w:r w:rsidRPr="009D2F18">
        <w:rPr>
          <w:rStyle w:val="FontStyle15"/>
          <w:rFonts w:ascii="Tahoma" w:hAnsi="Tahoma" w:cs="Tahoma"/>
          <w:bCs w:val="0"/>
        </w:rPr>
        <w:t xml:space="preserve">À </w:t>
      </w:r>
      <w:r w:rsidR="009D2F18" w:rsidRPr="009D2F18">
        <w:rPr>
          <w:rStyle w:val="FontStyle15"/>
          <w:rFonts w:ascii="Tahoma" w:hAnsi="Tahoma" w:cs="Tahoma"/>
          <w:bCs w:val="0"/>
        </w:rPr>
        <w:t>partir</w:t>
      </w:r>
      <w:r w:rsidRPr="009D2F18">
        <w:rPr>
          <w:rStyle w:val="FontStyle15"/>
          <w:rFonts w:ascii="Tahoma" w:hAnsi="Tahoma" w:cs="Tahoma"/>
          <w:bCs w:val="0"/>
        </w:rPr>
        <w:t xml:space="preserve"> de vos connaissances et </w:t>
      </w:r>
      <w:r w:rsidR="009D2F18" w:rsidRPr="009D2F18">
        <w:rPr>
          <w:rStyle w:val="FontStyle15"/>
          <w:rFonts w:ascii="Tahoma" w:hAnsi="Tahoma" w:cs="Tahoma"/>
          <w:bCs w:val="0"/>
        </w:rPr>
        <w:t>de la documentation fournie en annexe :</w:t>
      </w:r>
    </w:p>
    <w:p w:rsidR="00F61588" w:rsidRPr="00F61588" w:rsidRDefault="00F61588" w:rsidP="00F61588">
      <w:pPr>
        <w:rPr>
          <w:rStyle w:val="FontStyle15"/>
          <w:rFonts w:ascii="Tahoma" w:hAnsi="Tahoma" w:cs="Tahoma"/>
          <w:b w:val="0"/>
          <w:bCs w:val="0"/>
        </w:rPr>
      </w:pPr>
    </w:p>
    <w:p w:rsidR="00115F59" w:rsidRDefault="00115F59" w:rsidP="00A77838">
      <w:pPr>
        <w:pStyle w:val="Sansinterligne"/>
        <w:spacing w:line="276" w:lineRule="auto"/>
        <w:ind w:left="1276" w:hanging="1276"/>
        <w:rPr>
          <w:rStyle w:val="FontStyle15"/>
          <w:rFonts w:ascii="Tahoma" w:hAnsi="Tahoma" w:cs="Tahoma"/>
          <w:bCs w:val="0"/>
        </w:rPr>
      </w:pPr>
    </w:p>
    <w:p w:rsidR="00A44B5B" w:rsidRPr="00A44B5B" w:rsidRDefault="00A44B5B" w:rsidP="00A44B5B">
      <w:pPr>
        <w:pStyle w:val="Questions"/>
        <w:rPr>
          <w:sz w:val="20"/>
          <w:szCs w:val="20"/>
        </w:rPr>
      </w:pPr>
      <w:r w:rsidRPr="00A44B5B">
        <w:rPr>
          <w:sz w:val="20"/>
          <w:szCs w:val="20"/>
        </w:rPr>
        <w:t>Rappelez la notion de déficit public et commentez son évolution.</w:t>
      </w:r>
    </w:p>
    <w:p w:rsidR="00A44B5B" w:rsidRPr="00A44B5B" w:rsidRDefault="00A44B5B" w:rsidP="00A44B5B">
      <w:pPr>
        <w:pStyle w:val="Questions"/>
        <w:rPr>
          <w:sz w:val="20"/>
          <w:szCs w:val="20"/>
        </w:rPr>
      </w:pPr>
      <w:r w:rsidRPr="00A44B5B">
        <w:rPr>
          <w:sz w:val="20"/>
          <w:szCs w:val="20"/>
        </w:rPr>
        <w:t>Présentez la répartition et le rôle des dépenses publiques au sein de l'économie française.</w:t>
      </w:r>
    </w:p>
    <w:p w:rsidR="00DD644A" w:rsidRPr="003747FE" w:rsidRDefault="00A44B5B" w:rsidP="00A44B5B">
      <w:pPr>
        <w:pStyle w:val="Questions"/>
        <w:rPr>
          <w:sz w:val="20"/>
          <w:szCs w:val="20"/>
        </w:rPr>
      </w:pPr>
      <w:r w:rsidRPr="00A44B5B">
        <w:rPr>
          <w:sz w:val="20"/>
          <w:szCs w:val="20"/>
        </w:rPr>
        <w:t>Expliquez les raisons avancées par l'État pour réduire les dépenses publiques dans le cadre de la loi de finances 2018</w:t>
      </w:r>
      <w:r w:rsidR="00FA7831" w:rsidRPr="00FA7831">
        <w:rPr>
          <w:sz w:val="20"/>
          <w:szCs w:val="20"/>
        </w:rPr>
        <w:t>.</w:t>
      </w:r>
    </w:p>
    <w:p w:rsidR="00DC4CD8" w:rsidRPr="000B5AF2" w:rsidRDefault="0075737E" w:rsidP="00DD644A">
      <w:pPr>
        <w:pStyle w:val="Questions"/>
        <w:rPr>
          <w:sz w:val="20"/>
          <w:szCs w:val="20"/>
        </w:rPr>
      </w:pPr>
      <w:r w:rsidRPr="000B5AF2">
        <w:rPr>
          <w:sz w:val="20"/>
          <w:szCs w:val="20"/>
        </w:rPr>
        <w:t>Rédigez une argumentation qui permette de répondre à la question suivante :</w:t>
      </w:r>
    </w:p>
    <w:p w:rsidR="00DC4CD8" w:rsidRDefault="00DC4CD8" w:rsidP="00DC4CD8"/>
    <w:p w:rsidR="009D2F18" w:rsidRDefault="00DC4CD8" w:rsidP="00DC4CD8">
      <w:r>
        <w:t xml:space="preserve"> </w:t>
      </w:r>
    </w:p>
    <w:p w:rsidR="009D2F18" w:rsidRDefault="00A44B5B" w:rsidP="00845186">
      <w:pPr>
        <w:jc w:val="center"/>
      </w:pPr>
      <w:bookmarkStart w:id="0" w:name="_GoBack"/>
      <w:r w:rsidRPr="00A44B5B">
        <w:rPr>
          <w:b/>
        </w:rPr>
        <w:t>La baisse des dépenses publiques permet-elle de relancer la croissance économique</w:t>
      </w:r>
      <w:r w:rsidR="00765612">
        <w:rPr>
          <w:b/>
        </w:rPr>
        <w:t xml:space="preserve"> </w:t>
      </w:r>
      <w:r w:rsidR="00845186" w:rsidRPr="00845186">
        <w:rPr>
          <w:b/>
        </w:rPr>
        <w:t>?</w:t>
      </w:r>
    </w:p>
    <w:bookmarkEnd w:id="0"/>
    <w:p w:rsidR="009D2F18" w:rsidRDefault="009D2F18" w:rsidP="009D2F18"/>
    <w:p w:rsidR="009D2F18" w:rsidRDefault="009D2F18" w:rsidP="009D2F18"/>
    <w:p w:rsidR="009D2F18" w:rsidRDefault="009D2F18" w:rsidP="009D2F18"/>
    <w:p w:rsidR="009D2F18" w:rsidRDefault="009D2F18" w:rsidP="009D2F18">
      <w:pPr>
        <w:rPr>
          <w:b/>
        </w:rPr>
      </w:pPr>
      <w:r w:rsidRPr="009D2F18">
        <w:rPr>
          <w:b/>
          <w:u w:val="single"/>
        </w:rPr>
        <w:t>Annexes</w:t>
      </w:r>
      <w:r w:rsidRPr="009D2F18">
        <w:rPr>
          <w:b/>
        </w:rPr>
        <w:t xml:space="preserve"> :</w:t>
      </w:r>
    </w:p>
    <w:p w:rsidR="009D2F18" w:rsidRPr="009D2F18" w:rsidRDefault="009D2F18" w:rsidP="009D2F18">
      <w:pPr>
        <w:rPr>
          <w:b/>
        </w:rPr>
      </w:pPr>
    </w:p>
    <w:p w:rsidR="009D2F18" w:rsidRDefault="009D2F18" w:rsidP="009D2F18"/>
    <w:p w:rsidR="00A44B5B" w:rsidRDefault="00B119E4" w:rsidP="00A44B5B">
      <w:pPr>
        <w:ind w:left="284"/>
      </w:pPr>
      <w:r>
        <w:t>•</w:t>
      </w:r>
      <w:r>
        <w:tab/>
      </w:r>
      <w:r w:rsidR="00A44B5B">
        <w:t>Annexe 1 : L'évolution du déficit public en</w:t>
      </w:r>
      <w:r w:rsidR="00A44B5B">
        <w:t xml:space="preserve"> </w:t>
      </w:r>
      <w:r w:rsidR="00A44B5B">
        <w:t>% du PIB.</w:t>
      </w:r>
    </w:p>
    <w:p w:rsidR="00A44B5B" w:rsidRDefault="00A44B5B" w:rsidP="00A44B5B">
      <w:pPr>
        <w:ind w:left="284"/>
      </w:pPr>
      <w:r>
        <w:t>•</w:t>
      </w:r>
      <w:r>
        <w:tab/>
        <w:t>Annexe 2 : Structure des dépenses publiques en 2015 en</w:t>
      </w:r>
      <w:r>
        <w:t xml:space="preserve"> </w:t>
      </w:r>
      <w:r>
        <w:t>%.</w:t>
      </w:r>
    </w:p>
    <w:p w:rsidR="00A44B5B" w:rsidRDefault="00A44B5B" w:rsidP="00A44B5B">
      <w:pPr>
        <w:ind w:left="284"/>
      </w:pPr>
      <w:r>
        <w:t>•</w:t>
      </w:r>
      <w:r>
        <w:tab/>
        <w:t>Annexe 3 : Présentation du projet de loi de finances 2018.</w:t>
      </w:r>
    </w:p>
    <w:p w:rsidR="00A44B5B" w:rsidRDefault="00A44B5B" w:rsidP="00A44B5B">
      <w:pPr>
        <w:ind w:left="284"/>
      </w:pPr>
      <w:r>
        <w:t>•</w:t>
      </w:r>
      <w:r>
        <w:tab/>
        <w:t>Annexe 4 : Faut-il réduire les dépenses publiques ?</w:t>
      </w:r>
    </w:p>
    <w:p w:rsidR="00056590" w:rsidRDefault="00A44B5B" w:rsidP="00A44B5B">
      <w:pPr>
        <w:ind w:left="284"/>
      </w:pPr>
      <w:r>
        <w:t>•</w:t>
      </w:r>
      <w:r>
        <w:tab/>
        <w:t>Annexe 5 : Budget 2018 : le retour de la croissance accélère la réduction des déficits.</w:t>
      </w:r>
    </w:p>
    <w:p w:rsidR="009D2F18" w:rsidRDefault="009D2F18" w:rsidP="009D2F18">
      <w:r>
        <w:t xml:space="preserve"> </w:t>
      </w:r>
    </w:p>
    <w:p w:rsidR="008A38D6" w:rsidRDefault="008A38D6" w:rsidP="009D2F18"/>
    <w:p w:rsidR="009D2F18" w:rsidRDefault="009D2F18" w:rsidP="009D2F18"/>
    <w:p w:rsidR="008A38D6" w:rsidRDefault="008A38D6" w:rsidP="009D2F18"/>
    <w:p w:rsidR="00F1128D" w:rsidRPr="00AD56BC" w:rsidRDefault="00F1128D" w:rsidP="00F1128D">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b/>
          <w:color w:val="000000"/>
          <w:sz w:val="28"/>
        </w:rPr>
      </w:pPr>
      <w:r w:rsidRPr="00AD56BC">
        <w:rPr>
          <w:rFonts w:ascii="Arial" w:hAnsi="Arial" w:cs="Arial"/>
          <w:b/>
          <w:color w:val="000000"/>
          <w:sz w:val="28"/>
        </w:rPr>
        <w:t>ANNEXES</w:t>
      </w:r>
    </w:p>
    <w:p w:rsidR="00A44B5B" w:rsidRDefault="00A44B5B" w:rsidP="00763B2C">
      <w:pPr>
        <w:rPr>
          <w:b/>
          <w:u w:val="single"/>
        </w:rPr>
      </w:pPr>
    </w:p>
    <w:p w:rsidR="00763B2C" w:rsidRDefault="00763B2C" w:rsidP="00763B2C">
      <w:r w:rsidRPr="00763B2C">
        <w:rPr>
          <w:b/>
          <w:u w:val="single"/>
        </w:rPr>
        <w:t>Annexe 1</w:t>
      </w:r>
      <w:r w:rsidRPr="00763B2C">
        <w:rPr>
          <w:b/>
        </w:rPr>
        <w:t xml:space="preserve"> : </w:t>
      </w:r>
      <w:r w:rsidR="00A44B5B" w:rsidRPr="00A44B5B">
        <w:rPr>
          <w:b/>
        </w:rPr>
        <w:t>L'évolution du déficit public en % du PIB.</w:t>
      </w:r>
    </w:p>
    <w:p w:rsidR="0071418A" w:rsidRDefault="00A44B5B" w:rsidP="00957637">
      <w:pPr>
        <w:jc w:val="left"/>
        <w:rPr>
          <w:b/>
        </w:rPr>
      </w:pPr>
      <w:r w:rsidRPr="001F2B15">
        <w:rPr>
          <w:noProof/>
        </w:rPr>
        <w:drawing>
          <wp:inline distT="0" distB="0" distL="0" distR="0">
            <wp:extent cx="6029325" cy="3362325"/>
            <wp:effectExtent l="0" t="0" r="0" b="0"/>
            <wp:docPr id="5" name="Graphique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13632" w:rsidRDefault="00A13632" w:rsidP="00A44B5B">
      <w:pPr>
        <w:jc w:val="left"/>
        <w:rPr>
          <w:b/>
          <w:noProof/>
          <w:u w:val="single"/>
        </w:rPr>
      </w:pPr>
    </w:p>
    <w:p w:rsidR="00A13632" w:rsidRDefault="00A13632" w:rsidP="00A44B5B">
      <w:pPr>
        <w:jc w:val="left"/>
        <w:rPr>
          <w:b/>
          <w:noProof/>
          <w:u w:val="single"/>
        </w:rPr>
      </w:pPr>
    </w:p>
    <w:p w:rsidR="00A44B5B" w:rsidRDefault="00A44B5B" w:rsidP="00A44B5B">
      <w:pPr>
        <w:jc w:val="left"/>
        <w:rPr>
          <w:b/>
          <w:noProof/>
        </w:rPr>
      </w:pPr>
      <w:r w:rsidRPr="00A44B5B">
        <w:rPr>
          <w:b/>
          <w:noProof/>
          <w:u w:val="single"/>
        </w:rPr>
        <w:t>Annexe 2</w:t>
      </w:r>
      <w:r w:rsidRPr="00A44B5B">
        <w:rPr>
          <w:b/>
          <w:noProof/>
        </w:rPr>
        <w:t xml:space="preserve"> : Structure des dépenses publiques en 2015 en %.</w:t>
      </w:r>
    </w:p>
    <w:p w:rsidR="00A44B5B" w:rsidRPr="00A44B5B" w:rsidRDefault="00A44B5B" w:rsidP="00A44B5B">
      <w:pPr>
        <w:jc w:val="left"/>
        <w:rPr>
          <w:b/>
          <w:noProof/>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29"/>
        <w:gridCol w:w="3495"/>
      </w:tblGrid>
      <w:tr w:rsidR="00A44B5B" w:rsidRPr="00A44B5B" w:rsidTr="00A44B5B">
        <w:trPr>
          <w:trHeight w:val="424"/>
          <w:jc w:val="center"/>
        </w:trPr>
        <w:tc>
          <w:tcPr>
            <w:tcW w:w="6524" w:type="dxa"/>
            <w:gridSpan w:val="2"/>
          </w:tcPr>
          <w:p w:rsidR="00A44B5B" w:rsidRPr="00A44B5B" w:rsidRDefault="00A44B5B" w:rsidP="00A44B5B">
            <w:pPr>
              <w:jc w:val="center"/>
              <w:rPr>
                <w:b/>
                <w:noProof/>
              </w:rPr>
            </w:pPr>
            <w:r w:rsidRPr="00A44B5B">
              <w:rPr>
                <w:b/>
                <w:noProof/>
              </w:rPr>
              <w:t>Structure des dépenses publiques en 2015</w:t>
            </w:r>
          </w:p>
        </w:tc>
      </w:tr>
      <w:tr w:rsidR="00A44B5B" w:rsidRPr="00A44B5B" w:rsidTr="00A44B5B">
        <w:trPr>
          <w:trHeight w:val="435"/>
          <w:jc w:val="center"/>
        </w:trPr>
        <w:tc>
          <w:tcPr>
            <w:tcW w:w="3029" w:type="dxa"/>
          </w:tcPr>
          <w:p w:rsidR="00A44B5B" w:rsidRPr="00A44B5B" w:rsidRDefault="00A44B5B" w:rsidP="00A44B5B">
            <w:pPr>
              <w:jc w:val="left"/>
              <w:rPr>
                <w:noProof/>
              </w:rPr>
            </w:pPr>
          </w:p>
        </w:tc>
        <w:tc>
          <w:tcPr>
            <w:tcW w:w="3495" w:type="dxa"/>
          </w:tcPr>
          <w:p w:rsidR="00A44B5B" w:rsidRPr="00A44B5B" w:rsidRDefault="00A44B5B" w:rsidP="00A44B5B">
            <w:pPr>
              <w:jc w:val="center"/>
              <w:rPr>
                <w:noProof/>
              </w:rPr>
            </w:pPr>
            <w:r w:rsidRPr="00A44B5B">
              <w:rPr>
                <w:noProof/>
              </w:rPr>
              <w:t>Structure des dépenses publiques</w:t>
            </w:r>
          </w:p>
        </w:tc>
      </w:tr>
      <w:tr w:rsidR="00A44B5B" w:rsidRPr="00A44B5B" w:rsidTr="00A44B5B">
        <w:trPr>
          <w:trHeight w:val="424"/>
          <w:jc w:val="center"/>
        </w:trPr>
        <w:tc>
          <w:tcPr>
            <w:tcW w:w="3029" w:type="dxa"/>
          </w:tcPr>
          <w:p w:rsidR="00A44B5B" w:rsidRPr="00A44B5B" w:rsidRDefault="00A44B5B" w:rsidP="00A44B5B">
            <w:pPr>
              <w:ind w:firstLine="246"/>
              <w:jc w:val="left"/>
              <w:rPr>
                <w:noProof/>
                <w:lang w:val="en-US"/>
              </w:rPr>
            </w:pPr>
            <w:r w:rsidRPr="00A44B5B">
              <w:rPr>
                <w:noProof/>
                <w:lang w:val="en-US"/>
              </w:rPr>
              <w:t>Protection sociale</w:t>
            </w:r>
          </w:p>
        </w:tc>
        <w:tc>
          <w:tcPr>
            <w:tcW w:w="3495" w:type="dxa"/>
          </w:tcPr>
          <w:p w:rsidR="00A44B5B" w:rsidRPr="00A44B5B" w:rsidRDefault="00A44B5B" w:rsidP="00A44B5B">
            <w:pPr>
              <w:ind w:right="1519"/>
              <w:jc w:val="right"/>
              <w:rPr>
                <w:noProof/>
                <w:lang w:val="en-US"/>
              </w:rPr>
            </w:pPr>
            <w:r w:rsidRPr="00A44B5B">
              <w:rPr>
                <w:noProof/>
                <w:lang w:val="en-US"/>
              </w:rPr>
              <w:t>43,1</w:t>
            </w:r>
          </w:p>
        </w:tc>
      </w:tr>
      <w:tr w:rsidR="00A44B5B" w:rsidRPr="00A44B5B" w:rsidTr="00A44B5B">
        <w:trPr>
          <w:trHeight w:val="435"/>
          <w:jc w:val="center"/>
        </w:trPr>
        <w:tc>
          <w:tcPr>
            <w:tcW w:w="3029" w:type="dxa"/>
          </w:tcPr>
          <w:p w:rsidR="00A44B5B" w:rsidRPr="00A44B5B" w:rsidRDefault="00A44B5B" w:rsidP="00A44B5B">
            <w:pPr>
              <w:ind w:firstLine="246"/>
              <w:jc w:val="left"/>
              <w:rPr>
                <w:noProof/>
                <w:lang w:val="en-US"/>
              </w:rPr>
            </w:pPr>
            <w:r w:rsidRPr="00A44B5B">
              <w:rPr>
                <w:noProof/>
                <w:lang w:val="en-US"/>
              </w:rPr>
              <w:t>Santé</w:t>
            </w:r>
          </w:p>
        </w:tc>
        <w:tc>
          <w:tcPr>
            <w:tcW w:w="3495" w:type="dxa"/>
          </w:tcPr>
          <w:p w:rsidR="00A44B5B" w:rsidRPr="00A44B5B" w:rsidRDefault="00A44B5B" w:rsidP="00A44B5B">
            <w:pPr>
              <w:ind w:right="1519"/>
              <w:jc w:val="right"/>
              <w:rPr>
                <w:noProof/>
                <w:lang w:val="en-US"/>
              </w:rPr>
            </w:pPr>
            <w:r w:rsidRPr="00A44B5B">
              <w:rPr>
                <w:noProof/>
                <w:lang w:val="en-US"/>
              </w:rPr>
              <w:t>14,3</w:t>
            </w:r>
          </w:p>
        </w:tc>
      </w:tr>
      <w:tr w:rsidR="00A44B5B" w:rsidRPr="00A44B5B" w:rsidTr="00A44B5B">
        <w:trPr>
          <w:trHeight w:val="427"/>
          <w:jc w:val="center"/>
        </w:trPr>
        <w:tc>
          <w:tcPr>
            <w:tcW w:w="3029" w:type="dxa"/>
          </w:tcPr>
          <w:p w:rsidR="00A44B5B" w:rsidRPr="00A44B5B" w:rsidRDefault="00A44B5B" w:rsidP="00A44B5B">
            <w:pPr>
              <w:ind w:firstLine="246"/>
              <w:jc w:val="left"/>
              <w:rPr>
                <w:noProof/>
                <w:lang w:val="en-US"/>
              </w:rPr>
            </w:pPr>
            <w:r w:rsidRPr="00A44B5B">
              <w:rPr>
                <w:noProof/>
                <w:lang w:val="en-US"/>
              </w:rPr>
              <w:t>Services publics généraux</w:t>
            </w:r>
          </w:p>
        </w:tc>
        <w:tc>
          <w:tcPr>
            <w:tcW w:w="3495" w:type="dxa"/>
          </w:tcPr>
          <w:p w:rsidR="00A44B5B" w:rsidRPr="00A44B5B" w:rsidRDefault="00A44B5B" w:rsidP="00A44B5B">
            <w:pPr>
              <w:ind w:right="1519"/>
              <w:jc w:val="right"/>
              <w:rPr>
                <w:noProof/>
                <w:lang w:val="en-US"/>
              </w:rPr>
            </w:pPr>
            <w:r w:rsidRPr="00A44B5B">
              <w:rPr>
                <w:noProof/>
                <w:lang w:val="en-US"/>
              </w:rPr>
              <w:t>11,6</w:t>
            </w:r>
          </w:p>
        </w:tc>
      </w:tr>
      <w:tr w:rsidR="00A44B5B" w:rsidRPr="00A44B5B" w:rsidTr="00A44B5B">
        <w:trPr>
          <w:trHeight w:val="442"/>
          <w:jc w:val="center"/>
        </w:trPr>
        <w:tc>
          <w:tcPr>
            <w:tcW w:w="3029" w:type="dxa"/>
          </w:tcPr>
          <w:p w:rsidR="00A44B5B" w:rsidRPr="00A44B5B" w:rsidRDefault="00A44B5B" w:rsidP="00A44B5B">
            <w:pPr>
              <w:ind w:firstLine="246"/>
              <w:jc w:val="left"/>
              <w:rPr>
                <w:noProof/>
                <w:lang w:val="en-US"/>
              </w:rPr>
            </w:pPr>
            <w:r w:rsidRPr="00A44B5B">
              <w:rPr>
                <w:noProof/>
                <w:lang w:val="en-US"/>
              </w:rPr>
              <w:t>Enseignement</w:t>
            </w:r>
          </w:p>
        </w:tc>
        <w:tc>
          <w:tcPr>
            <w:tcW w:w="3495" w:type="dxa"/>
          </w:tcPr>
          <w:p w:rsidR="00A44B5B" w:rsidRPr="00A44B5B" w:rsidRDefault="00A44B5B" w:rsidP="00A44B5B">
            <w:pPr>
              <w:ind w:right="1519"/>
              <w:jc w:val="right"/>
              <w:rPr>
                <w:noProof/>
                <w:lang w:val="en-US"/>
              </w:rPr>
            </w:pPr>
            <w:r w:rsidRPr="00A44B5B">
              <w:rPr>
                <w:noProof/>
                <w:lang w:val="en-US"/>
              </w:rPr>
              <w:t>9,6</w:t>
            </w:r>
          </w:p>
        </w:tc>
      </w:tr>
      <w:tr w:rsidR="00A44B5B" w:rsidRPr="00A44B5B" w:rsidTr="00A44B5B">
        <w:trPr>
          <w:trHeight w:val="420"/>
          <w:jc w:val="center"/>
        </w:trPr>
        <w:tc>
          <w:tcPr>
            <w:tcW w:w="3029" w:type="dxa"/>
          </w:tcPr>
          <w:p w:rsidR="00A44B5B" w:rsidRPr="00A44B5B" w:rsidRDefault="00A44B5B" w:rsidP="00A44B5B">
            <w:pPr>
              <w:ind w:firstLine="246"/>
              <w:jc w:val="left"/>
              <w:rPr>
                <w:noProof/>
                <w:lang w:val="en-US"/>
              </w:rPr>
            </w:pPr>
            <w:r w:rsidRPr="00A44B5B">
              <w:rPr>
                <w:noProof/>
                <w:lang w:val="en-US"/>
              </w:rPr>
              <w:t>Autres</w:t>
            </w:r>
          </w:p>
        </w:tc>
        <w:tc>
          <w:tcPr>
            <w:tcW w:w="3495" w:type="dxa"/>
          </w:tcPr>
          <w:p w:rsidR="00A44B5B" w:rsidRPr="00A44B5B" w:rsidRDefault="00A44B5B" w:rsidP="00A44B5B">
            <w:pPr>
              <w:ind w:right="1519"/>
              <w:jc w:val="right"/>
              <w:rPr>
                <w:noProof/>
                <w:lang w:val="en-US"/>
              </w:rPr>
            </w:pPr>
            <w:r w:rsidRPr="00A44B5B">
              <w:rPr>
                <w:noProof/>
                <w:lang w:val="en-US"/>
              </w:rPr>
              <w:t>9,6</w:t>
            </w:r>
          </w:p>
        </w:tc>
      </w:tr>
      <w:tr w:rsidR="00A44B5B" w:rsidRPr="00A44B5B" w:rsidTr="00A44B5B">
        <w:trPr>
          <w:trHeight w:val="431"/>
          <w:jc w:val="center"/>
        </w:trPr>
        <w:tc>
          <w:tcPr>
            <w:tcW w:w="3029" w:type="dxa"/>
          </w:tcPr>
          <w:p w:rsidR="00A44B5B" w:rsidRPr="00A44B5B" w:rsidRDefault="00A44B5B" w:rsidP="00A44B5B">
            <w:pPr>
              <w:ind w:firstLine="246"/>
              <w:jc w:val="left"/>
              <w:rPr>
                <w:noProof/>
                <w:lang w:val="en-US"/>
              </w:rPr>
            </w:pPr>
            <w:r w:rsidRPr="00A44B5B">
              <w:rPr>
                <w:noProof/>
                <w:lang w:val="en-US"/>
              </w:rPr>
              <w:t>Affaires économiques</w:t>
            </w:r>
          </w:p>
        </w:tc>
        <w:tc>
          <w:tcPr>
            <w:tcW w:w="3495" w:type="dxa"/>
          </w:tcPr>
          <w:p w:rsidR="00A44B5B" w:rsidRPr="00A44B5B" w:rsidRDefault="00A44B5B" w:rsidP="00A44B5B">
            <w:pPr>
              <w:ind w:right="1519"/>
              <w:jc w:val="right"/>
              <w:rPr>
                <w:noProof/>
                <w:lang w:val="en-US"/>
              </w:rPr>
            </w:pPr>
            <w:r w:rsidRPr="00A44B5B">
              <w:rPr>
                <w:noProof/>
                <w:lang w:val="en-US"/>
              </w:rPr>
              <w:t>8,8</w:t>
            </w:r>
          </w:p>
        </w:tc>
      </w:tr>
      <w:tr w:rsidR="00A44B5B" w:rsidRPr="00A44B5B" w:rsidTr="00A44B5B">
        <w:trPr>
          <w:trHeight w:val="442"/>
          <w:jc w:val="center"/>
        </w:trPr>
        <w:tc>
          <w:tcPr>
            <w:tcW w:w="3029" w:type="dxa"/>
          </w:tcPr>
          <w:p w:rsidR="00A44B5B" w:rsidRPr="00A44B5B" w:rsidRDefault="00A44B5B" w:rsidP="00A44B5B">
            <w:pPr>
              <w:ind w:firstLine="246"/>
              <w:jc w:val="left"/>
              <w:rPr>
                <w:noProof/>
                <w:lang w:val="en-US"/>
              </w:rPr>
            </w:pPr>
            <w:r w:rsidRPr="00A44B5B">
              <w:rPr>
                <w:noProof/>
                <w:lang w:val="en-US"/>
              </w:rPr>
              <w:t>Défense</w:t>
            </w:r>
          </w:p>
        </w:tc>
        <w:tc>
          <w:tcPr>
            <w:tcW w:w="3495" w:type="dxa"/>
          </w:tcPr>
          <w:p w:rsidR="00A44B5B" w:rsidRPr="00A44B5B" w:rsidRDefault="00A44B5B" w:rsidP="00A44B5B">
            <w:pPr>
              <w:ind w:right="1519"/>
              <w:jc w:val="right"/>
              <w:rPr>
                <w:noProof/>
                <w:lang w:val="en-US"/>
              </w:rPr>
            </w:pPr>
            <w:r w:rsidRPr="00A44B5B">
              <w:rPr>
                <w:noProof/>
                <w:lang w:val="en-US"/>
              </w:rPr>
              <w:t>3,0</w:t>
            </w:r>
          </w:p>
        </w:tc>
      </w:tr>
    </w:tbl>
    <w:p w:rsidR="00A44B5B" w:rsidRPr="00A44B5B" w:rsidRDefault="00A44B5B" w:rsidP="00A44B5B">
      <w:pPr>
        <w:jc w:val="right"/>
        <w:rPr>
          <w:b/>
          <w:i/>
          <w:noProof/>
        </w:rPr>
      </w:pPr>
      <w:r w:rsidRPr="00A44B5B">
        <w:rPr>
          <w:b/>
          <w:i/>
          <w:noProof/>
        </w:rPr>
        <w:t>Source : lnsee, comptes nationaux - base 201O.</w:t>
      </w:r>
    </w:p>
    <w:p w:rsidR="00A44B5B" w:rsidRPr="00A44B5B" w:rsidRDefault="00A44B5B" w:rsidP="00A44B5B">
      <w:pPr>
        <w:jc w:val="left"/>
        <w:rPr>
          <w:b/>
          <w:noProof/>
        </w:rPr>
      </w:pPr>
      <w:r w:rsidRPr="00A44B5B">
        <w:rPr>
          <w:b/>
          <w:noProof/>
          <w:u w:val="single"/>
        </w:rPr>
        <w:lastRenderedPageBreak/>
        <w:t>Annexe 3</w:t>
      </w:r>
      <w:r w:rsidRPr="00A44B5B">
        <w:rPr>
          <w:b/>
          <w:noProof/>
        </w:rPr>
        <w:t xml:space="preserve"> : Présentation du projet de loi de finances 2018</w:t>
      </w:r>
    </w:p>
    <w:p w:rsidR="00A44B5B" w:rsidRPr="00A44B5B" w:rsidRDefault="00A44B5B" w:rsidP="00A44B5B">
      <w:r w:rsidRPr="00A44B5B">
        <w:t>Le Gouvernement fait le choix d'agir sur la dépense publique : avec plus de 56% de notre richesse nationale, la France a le niveau de dépenses publiques le plus élevé des économies développées, pour des résultats qui ne sont pas toujours à la hauteur des attentes de nos concitoyens :</w:t>
      </w:r>
    </w:p>
    <w:p w:rsidR="00A44B5B" w:rsidRDefault="00A44B5B" w:rsidP="00A44B5B">
      <w:pPr>
        <w:ind w:left="284" w:hanging="284"/>
        <w:rPr>
          <w:noProof/>
        </w:rPr>
      </w:pPr>
      <w:r>
        <w:rPr>
          <w:noProof/>
        </w:rPr>
        <w:t>•</w:t>
      </w:r>
      <w:r>
        <w:rPr>
          <w:noProof/>
        </w:rPr>
        <w:tab/>
        <w:t>En 2017 [...] le Gouvernement a écarté de mobiliser une hausse des impôts et a rapidement déployé un plan de maîtrise de la dépense de grande ampleur, avec plus de 4 milliards d'euros de mesures décidées en juillet. Grâce à ces efforts, le déficit public</w:t>
      </w:r>
      <w:r>
        <w:rPr>
          <w:noProof/>
        </w:rPr>
        <w:t xml:space="preserve"> </w:t>
      </w:r>
      <w:r>
        <w:rPr>
          <w:noProof/>
        </w:rPr>
        <w:t>devrait repasser sous la barre des 3% fin 2017 et permettre à la France de sortir de la procédure pour déficit excessif, nous redonnant de la crédibilité auprès de nos partenaires européens.</w:t>
      </w:r>
    </w:p>
    <w:p w:rsidR="00A44B5B" w:rsidRDefault="00A44B5B" w:rsidP="00A44B5B">
      <w:pPr>
        <w:ind w:left="284" w:hanging="284"/>
        <w:rPr>
          <w:noProof/>
        </w:rPr>
      </w:pPr>
      <w:r>
        <w:rPr>
          <w:noProof/>
        </w:rPr>
        <w:t>•</w:t>
      </w:r>
      <w:r>
        <w:rPr>
          <w:noProof/>
        </w:rPr>
        <w:tab/>
        <w:t>À partir de 2018, le Gouvernement se fixe l'objectif de réduire le niveau de nos dépenses publiques de plus de trois points de PIB à horizon 2022, par la mise en œuvre d'un programme ambitieux de transformation de l'action publique dans un souci  d'efficacité et de modernisation.</w:t>
      </w:r>
    </w:p>
    <w:p w:rsidR="00A44B5B" w:rsidRPr="00A44B5B" w:rsidRDefault="00A44B5B" w:rsidP="00A44B5B">
      <w:pPr>
        <w:jc w:val="right"/>
        <w:rPr>
          <w:b/>
          <w:i/>
          <w:noProof/>
        </w:rPr>
      </w:pPr>
      <w:r w:rsidRPr="00A44B5B">
        <w:rPr>
          <w:b/>
          <w:i/>
          <w:noProof/>
        </w:rPr>
        <w:t>Source : Projet de loi de finances, Les moyens de l'action 20 18 , 27 Septembre 2017</w:t>
      </w:r>
    </w:p>
    <w:p w:rsidR="00F547E1" w:rsidRDefault="00F547E1" w:rsidP="00A44B5B">
      <w:pPr>
        <w:rPr>
          <w:b/>
          <w:noProof/>
          <w:u w:val="single"/>
        </w:rPr>
      </w:pPr>
    </w:p>
    <w:p w:rsidR="00A44B5B" w:rsidRPr="00A44B5B" w:rsidRDefault="00A44B5B" w:rsidP="00A44B5B">
      <w:pPr>
        <w:rPr>
          <w:b/>
          <w:noProof/>
        </w:rPr>
      </w:pPr>
      <w:r w:rsidRPr="00A44B5B">
        <w:rPr>
          <w:b/>
          <w:noProof/>
          <w:u w:val="single"/>
        </w:rPr>
        <w:t>Annexe 4</w:t>
      </w:r>
      <w:r w:rsidRPr="00A44B5B">
        <w:rPr>
          <w:b/>
          <w:noProof/>
        </w:rPr>
        <w:t xml:space="preserve"> : Faut-il réduire les dépenses publiques ?</w:t>
      </w:r>
    </w:p>
    <w:p w:rsidR="00A44B5B" w:rsidRDefault="00A44B5B" w:rsidP="00F547E1">
      <w:pPr>
        <w:spacing w:before="0" w:after="60"/>
        <w:rPr>
          <w:noProof/>
        </w:rPr>
      </w:pPr>
      <w:r>
        <w:rPr>
          <w:noProof/>
        </w:rPr>
        <w:t>On comprend mieux pourquoi réduire la dépense publique a des effets récessifs. Réduire les services publics ? C'est réduire directement le PIB puisque les fonctionnaires y contribuent, et c'est le réduire de surcroît indirectement puisque les fonctionnaires dépensent une bonne part de leur salaire auprès du privé. Réduire les prestations</w:t>
      </w:r>
      <w:r>
        <w:rPr>
          <w:noProof/>
        </w:rPr>
        <w:t xml:space="preserve"> </w:t>
      </w:r>
      <w:r>
        <w:rPr>
          <w:noProof/>
        </w:rPr>
        <w:t>sociales ? C'est réduire massivement une bonne part du revenu des ménages et donc là aussi les achats auprès du privé. La question du montant des dépenses publiques est foncièrement une question de choix sociaux et politiques.</w:t>
      </w:r>
    </w:p>
    <w:p w:rsidR="00A44B5B" w:rsidRDefault="00A44B5B" w:rsidP="00F547E1">
      <w:pPr>
        <w:spacing w:before="0" w:after="60"/>
        <w:rPr>
          <w:noProof/>
        </w:rPr>
      </w:pPr>
      <w:r>
        <w:rPr>
          <w:noProof/>
        </w:rPr>
        <w:t>Mais ce n'est tout simplement pas possible : la baisse de la dépense publique entraîne en effet la baisse du PIB, de sorte qu'au final le rapport entre dépense publique et PIB baisse peu ou pas.</w:t>
      </w:r>
    </w:p>
    <w:p w:rsidR="00A44B5B" w:rsidRPr="00A44B5B" w:rsidRDefault="00A44B5B" w:rsidP="00A44B5B">
      <w:pPr>
        <w:spacing w:after="0"/>
        <w:jc w:val="right"/>
        <w:rPr>
          <w:b/>
          <w:i/>
          <w:noProof/>
        </w:rPr>
      </w:pPr>
      <w:r w:rsidRPr="00A44B5B">
        <w:rPr>
          <w:b/>
          <w:i/>
          <w:noProof/>
        </w:rPr>
        <w:t>Source : Contre rapport : Faut-il réduire les dépenses publiques ?,</w:t>
      </w:r>
    </w:p>
    <w:p w:rsidR="00A44B5B" w:rsidRPr="00A44B5B" w:rsidRDefault="00A44B5B" w:rsidP="00A44B5B">
      <w:pPr>
        <w:spacing w:before="0"/>
        <w:jc w:val="right"/>
        <w:rPr>
          <w:b/>
          <w:i/>
          <w:noProof/>
        </w:rPr>
      </w:pPr>
      <w:r w:rsidRPr="00A44B5B">
        <w:rPr>
          <w:b/>
          <w:i/>
          <w:noProof/>
        </w:rPr>
        <w:t>C.  Ramaux et H. Sterdyniak, Février 2017</w:t>
      </w:r>
    </w:p>
    <w:p w:rsidR="00A44B5B" w:rsidRDefault="00A44B5B" w:rsidP="00A44B5B">
      <w:pPr>
        <w:rPr>
          <w:noProof/>
        </w:rPr>
      </w:pPr>
    </w:p>
    <w:p w:rsidR="00A44B5B" w:rsidRPr="00F547E1" w:rsidRDefault="00A44B5B" w:rsidP="00A44B5B">
      <w:pPr>
        <w:rPr>
          <w:b/>
          <w:noProof/>
        </w:rPr>
      </w:pPr>
      <w:r w:rsidRPr="00F547E1">
        <w:rPr>
          <w:b/>
          <w:noProof/>
          <w:u w:val="single"/>
        </w:rPr>
        <w:t>Annexe 5</w:t>
      </w:r>
      <w:r w:rsidRPr="00F547E1">
        <w:rPr>
          <w:b/>
          <w:noProof/>
        </w:rPr>
        <w:t xml:space="preserve"> : Budget 2018 : le retour de la croissance facilite la réduction des déficits</w:t>
      </w:r>
    </w:p>
    <w:p w:rsidR="00A44B5B" w:rsidRDefault="00A44B5B" w:rsidP="00F547E1">
      <w:pPr>
        <w:spacing w:before="0" w:after="60"/>
        <w:rPr>
          <w:noProof/>
        </w:rPr>
      </w:pPr>
      <w:r>
        <w:rPr>
          <w:noProof/>
        </w:rPr>
        <w:t>L'accélération de la croissance permet au gouvernement français de desserrer l'étau budgétaire avec lequel il vivait depuis l'été. Selon nos informations, la prévision de déficit public a été revue à la baisse à la fois pour 2017 et pour 2018 : il s'établirait à -2,9% du PIB cette année (contre -3% attendu) et -2,6% l'an prochain (contre -2,7% annoncé en juillet), selon des sources concordantes. Le tout avec des économies moindres que prévues, puisque l'objectif a été revu de 20 milliards d'euros à 16 milliards.</w:t>
      </w:r>
    </w:p>
    <w:p w:rsidR="00A44B5B" w:rsidRDefault="00A44B5B" w:rsidP="00F547E1">
      <w:pPr>
        <w:spacing w:before="0" w:after="60"/>
        <w:rPr>
          <w:noProof/>
        </w:rPr>
      </w:pPr>
      <w:r>
        <w:rPr>
          <w:noProof/>
        </w:rPr>
        <w:t>Le ministre de !'Économie et des Finances Bruno Le Maire a confirmé ces chiffres ce mardi sur</w:t>
      </w:r>
      <w:r w:rsidR="00F547E1">
        <w:rPr>
          <w:noProof/>
        </w:rPr>
        <w:br/>
      </w:r>
      <w:r>
        <w:rPr>
          <w:noProof/>
        </w:rPr>
        <w:t>France 2 : « C'est un peu mieux que ce que nous avions indiqué en première indication aux parlementaires parce que la croissance est légèrement mei</w:t>
      </w:r>
      <w:r w:rsidR="00F547E1">
        <w:rPr>
          <w:noProof/>
        </w:rPr>
        <w:t>ll</w:t>
      </w:r>
      <w:r>
        <w:rPr>
          <w:noProof/>
        </w:rPr>
        <w:t>eure ».</w:t>
      </w:r>
    </w:p>
    <w:p w:rsidR="00A44B5B" w:rsidRDefault="00A44B5B" w:rsidP="00F547E1">
      <w:pPr>
        <w:spacing w:before="0" w:after="60"/>
        <w:rPr>
          <w:noProof/>
        </w:rPr>
      </w:pPr>
      <w:r>
        <w:rPr>
          <w:noProof/>
        </w:rPr>
        <w:t>Moins de déficit avec moins d'économies [... ] grâce à [... ] l'accélération de l'activité économique et des rentrées fiscales qui vont avec. Ainsi la croissance du PIB devrait s'établir à +1,7% cette année, selon les nouvelles prévisions du gouvernement. [... ] Le montant des économies va donc être revu à la baisse par rapport à la facture initiale de 20 milliards, à 16 milliards selon l'AFP.</w:t>
      </w:r>
    </w:p>
    <w:p w:rsidR="00A44B5B" w:rsidRDefault="00A44B5B" w:rsidP="00F547E1">
      <w:pPr>
        <w:spacing w:before="0" w:after="60"/>
        <w:rPr>
          <w:noProof/>
        </w:rPr>
      </w:pPr>
      <w:r>
        <w:rPr>
          <w:noProof/>
        </w:rPr>
        <w:t>Le gouvernement n'a du coup pas besoin de recourir à des coupes dans la fonction publique, alors que les fonctionnaires appellent à la grève le 10 octobre. Gérald Darmanin [ministre de l'Action et des Comptes public] a ainsi annoncé que 1 600 postes d'agents publics seraient supprimés l'an prochain dans la sphère étatique, alors qu'Emmanuel Macron avait annoncé 50 000 postes en moins sur le quinquennat.</w:t>
      </w:r>
    </w:p>
    <w:p w:rsidR="00F27A30" w:rsidRPr="00F547E1" w:rsidRDefault="00A44B5B" w:rsidP="00F547E1">
      <w:pPr>
        <w:jc w:val="right"/>
        <w:rPr>
          <w:b/>
          <w:i/>
          <w:noProof/>
        </w:rPr>
      </w:pPr>
      <w:r w:rsidRPr="00F547E1">
        <w:rPr>
          <w:b/>
          <w:i/>
          <w:noProof/>
        </w:rPr>
        <w:t>Source : Les Échos.fr. Renaud Honoré. Septembre 2017</w:t>
      </w:r>
    </w:p>
    <w:sectPr w:rsidR="00F27A30" w:rsidRPr="00F547E1" w:rsidSect="00957637">
      <w:footerReference w:type="default" r:id="rId9"/>
      <w:footerReference w:type="first" r:id="rId10"/>
      <w:type w:val="continuous"/>
      <w:pgSz w:w="11907" w:h="16839" w:code="9"/>
      <w:pgMar w:top="851" w:right="1275" w:bottom="720" w:left="1418" w:header="720" w:footer="720" w:gutter="0"/>
      <w:cols w:space="34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3CF" w:rsidRDefault="00F353CF">
      <w:r>
        <w:separator/>
      </w:r>
    </w:p>
  </w:endnote>
  <w:endnote w:type="continuationSeparator" w:id="0">
    <w:p w:rsidR="00F353CF" w:rsidRDefault="00F35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3344" w:rsidRPr="00121FFA" w:rsidRDefault="00593344" w:rsidP="00326045">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4</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593344" w:rsidRDefault="0059334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38" w:rsidRPr="00121FFA" w:rsidRDefault="00C77538" w:rsidP="00D64660">
    <w:pPr>
      <w:pStyle w:val="Pieddepage"/>
      <w:jc w:val="right"/>
      <w:rPr>
        <w:rFonts w:cs="Tahoma"/>
        <w:szCs w:val="20"/>
      </w:rPr>
    </w:pPr>
    <w:r w:rsidRPr="00121FFA">
      <w:rPr>
        <w:rFonts w:cs="Tahoma"/>
        <w:szCs w:val="20"/>
      </w:rPr>
      <w:fldChar w:fldCharType="begin"/>
    </w:r>
    <w:r w:rsidRPr="00121FFA">
      <w:rPr>
        <w:rFonts w:cs="Tahoma"/>
        <w:szCs w:val="20"/>
      </w:rPr>
      <w:instrText xml:space="preserve"> PAGE   \* MERGEFORMAT </w:instrText>
    </w:r>
    <w:r w:rsidRPr="00121FFA">
      <w:rPr>
        <w:rFonts w:cs="Tahoma"/>
        <w:szCs w:val="20"/>
      </w:rPr>
      <w:fldChar w:fldCharType="separate"/>
    </w:r>
    <w:r w:rsidR="000B5AF2">
      <w:rPr>
        <w:rFonts w:cs="Tahoma"/>
        <w:noProof/>
        <w:szCs w:val="20"/>
      </w:rPr>
      <w:t>1</w:t>
    </w:r>
    <w:r w:rsidRPr="00121FFA">
      <w:rPr>
        <w:rFonts w:cs="Tahoma"/>
        <w:szCs w:val="20"/>
      </w:rPr>
      <w:fldChar w:fldCharType="end"/>
    </w:r>
    <w:r w:rsidRPr="00121FFA">
      <w:rPr>
        <w:rFonts w:cs="Tahoma"/>
        <w:szCs w:val="20"/>
      </w:rPr>
      <w:t xml:space="preserve"> / </w:t>
    </w:r>
    <w:fldSimple w:instr=" NUMPAGES   \* MERGEFORMAT ">
      <w:r w:rsidR="000B5AF2" w:rsidRPr="000B5AF2">
        <w:rPr>
          <w:rFonts w:cs="Tahoma"/>
          <w:noProof/>
          <w:szCs w:val="20"/>
        </w:rPr>
        <w:t>4</w:t>
      </w:r>
    </w:fldSimple>
  </w:p>
  <w:p w:rsidR="00C77538" w:rsidRDefault="00C77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3CF" w:rsidRDefault="00F353CF">
      <w:r>
        <w:separator/>
      </w:r>
    </w:p>
  </w:footnote>
  <w:footnote w:type="continuationSeparator" w:id="0">
    <w:p w:rsidR="00F353CF" w:rsidRDefault="00F35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4429672"/>
    <w:lvl w:ilvl="0">
      <w:numFmt w:val="bullet"/>
      <w:lvlText w:val="*"/>
      <w:lvlJc w:val="left"/>
    </w:lvl>
  </w:abstractNum>
  <w:abstractNum w:abstractNumId="1" w15:restartNumberingAfterBreak="0">
    <w:nsid w:val="03185638"/>
    <w:multiLevelType w:val="singleLevel"/>
    <w:tmpl w:val="EBBC4BDA"/>
    <w:lvl w:ilvl="0">
      <w:start w:val="1"/>
      <w:numFmt w:val="decimal"/>
      <w:lvlText w:val="4.%1"/>
      <w:legacy w:legacy="1" w:legacySpace="0" w:legacyIndent="420"/>
      <w:lvlJc w:val="left"/>
      <w:rPr>
        <w:rFonts w:ascii="Times New Roman" w:hAnsi="Times New Roman" w:cs="Times New Roman" w:hint="default"/>
      </w:rPr>
    </w:lvl>
  </w:abstractNum>
  <w:abstractNum w:abstractNumId="2" w15:restartNumberingAfterBreak="0">
    <w:nsid w:val="057A5745"/>
    <w:multiLevelType w:val="hybridMultilevel"/>
    <w:tmpl w:val="8A3A33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77D6994"/>
    <w:multiLevelType w:val="hybridMultilevel"/>
    <w:tmpl w:val="369454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816DC"/>
    <w:multiLevelType w:val="hybridMultilevel"/>
    <w:tmpl w:val="40882B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DB63D30"/>
    <w:multiLevelType w:val="hybridMultilevel"/>
    <w:tmpl w:val="48CE994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28073A"/>
    <w:multiLevelType w:val="singleLevel"/>
    <w:tmpl w:val="DF1CB26C"/>
    <w:lvl w:ilvl="0">
      <w:start w:val="1"/>
      <w:numFmt w:val="decimal"/>
      <w:lvlText w:val="%1."/>
      <w:legacy w:legacy="1" w:legacySpace="0" w:legacyIndent="489"/>
      <w:lvlJc w:val="left"/>
      <w:rPr>
        <w:rFonts w:ascii="Times New Roman" w:hAnsi="Times New Roman" w:cs="Times New Roman" w:hint="default"/>
      </w:rPr>
    </w:lvl>
  </w:abstractNum>
  <w:abstractNum w:abstractNumId="7" w15:restartNumberingAfterBreak="0">
    <w:nsid w:val="14861077"/>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8" w15:restartNumberingAfterBreak="0">
    <w:nsid w:val="19E0629D"/>
    <w:multiLevelType w:val="hybridMultilevel"/>
    <w:tmpl w:val="CDAE2C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A49244A"/>
    <w:multiLevelType w:val="hybridMultilevel"/>
    <w:tmpl w:val="F23A38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C3721FF"/>
    <w:multiLevelType w:val="hybridMultilevel"/>
    <w:tmpl w:val="5C8CDA0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4D11B1F"/>
    <w:multiLevelType w:val="hybridMultilevel"/>
    <w:tmpl w:val="45C62E2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5D75BCB"/>
    <w:multiLevelType w:val="singleLevel"/>
    <w:tmpl w:val="9BB628A8"/>
    <w:lvl w:ilvl="0">
      <w:start w:val="1"/>
      <w:numFmt w:val="decimal"/>
      <w:lvlText w:val="%1."/>
      <w:legacy w:legacy="1" w:legacySpace="0" w:legacyIndent="454"/>
      <w:lvlJc w:val="left"/>
      <w:rPr>
        <w:rFonts w:ascii="Times New Roman" w:hAnsi="Times New Roman" w:cs="Times New Roman" w:hint="default"/>
      </w:rPr>
    </w:lvl>
  </w:abstractNum>
  <w:abstractNum w:abstractNumId="13" w15:restartNumberingAfterBreak="0">
    <w:nsid w:val="2814337B"/>
    <w:multiLevelType w:val="singleLevel"/>
    <w:tmpl w:val="65FE515A"/>
    <w:lvl w:ilvl="0">
      <w:start w:val="1"/>
      <w:numFmt w:val="decimal"/>
      <w:lvlText w:val="1.%1"/>
      <w:legacy w:legacy="1" w:legacySpace="0" w:legacyIndent="378"/>
      <w:lvlJc w:val="left"/>
      <w:rPr>
        <w:rFonts w:ascii="Times New Roman" w:hAnsi="Times New Roman" w:cs="Times New Roman" w:hint="default"/>
      </w:rPr>
    </w:lvl>
  </w:abstractNum>
  <w:abstractNum w:abstractNumId="14" w15:restartNumberingAfterBreak="0">
    <w:nsid w:val="28C6709B"/>
    <w:multiLevelType w:val="hybridMultilevel"/>
    <w:tmpl w:val="8E20CD9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EE5D52"/>
    <w:multiLevelType w:val="hybridMultilevel"/>
    <w:tmpl w:val="C09A7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3D0501"/>
    <w:multiLevelType w:val="hybridMultilevel"/>
    <w:tmpl w:val="63647F34"/>
    <w:lvl w:ilvl="0" w:tplc="4F5A9854">
      <w:numFmt w:val="bullet"/>
      <w:lvlText w:val="-"/>
      <w:lvlJc w:val="left"/>
      <w:pPr>
        <w:ind w:left="720" w:hanging="360"/>
      </w:pPr>
      <w:rPr>
        <w:rFonts w:ascii="Tahoma" w:eastAsia="Times New Roman"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0E1D2D"/>
    <w:multiLevelType w:val="singleLevel"/>
    <w:tmpl w:val="E63E83AC"/>
    <w:lvl w:ilvl="0">
      <w:start w:val="2"/>
      <w:numFmt w:val="decimal"/>
      <w:lvlText w:val="%1."/>
      <w:legacy w:legacy="1" w:legacySpace="0" w:legacyIndent="412"/>
      <w:lvlJc w:val="left"/>
      <w:rPr>
        <w:rFonts w:ascii="Times New Roman" w:hAnsi="Times New Roman" w:cs="Times New Roman" w:hint="default"/>
      </w:rPr>
    </w:lvl>
  </w:abstractNum>
  <w:abstractNum w:abstractNumId="18" w15:restartNumberingAfterBreak="0">
    <w:nsid w:val="3B630FB3"/>
    <w:multiLevelType w:val="singleLevel"/>
    <w:tmpl w:val="0BEEFAAC"/>
    <w:lvl w:ilvl="0">
      <w:start w:val="1"/>
      <w:numFmt w:val="decimal"/>
      <w:lvlText w:val="2.%1"/>
      <w:legacy w:legacy="1" w:legacySpace="0" w:legacyIndent="343"/>
      <w:lvlJc w:val="left"/>
      <w:rPr>
        <w:rFonts w:ascii="Times New Roman" w:hAnsi="Times New Roman" w:cs="Times New Roman" w:hint="default"/>
      </w:rPr>
    </w:lvl>
  </w:abstractNum>
  <w:abstractNum w:abstractNumId="19" w15:restartNumberingAfterBreak="0">
    <w:nsid w:val="3E7A0140"/>
    <w:multiLevelType w:val="hybridMultilevel"/>
    <w:tmpl w:val="49DC07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2C95B6E"/>
    <w:multiLevelType w:val="singleLevel"/>
    <w:tmpl w:val="A87E8310"/>
    <w:lvl w:ilvl="0">
      <w:start w:val="1"/>
      <w:numFmt w:val="decimal"/>
      <w:lvlText w:val="%1."/>
      <w:legacy w:legacy="1" w:legacySpace="0" w:legacyIndent="419"/>
      <w:lvlJc w:val="left"/>
      <w:rPr>
        <w:rFonts w:ascii="Times New Roman" w:hAnsi="Times New Roman" w:cs="Times New Roman" w:hint="default"/>
      </w:rPr>
    </w:lvl>
  </w:abstractNum>
  <w:abstractNum w:abstractNumId="21" w15:restartNumberingAfterBreak="0">
    <w:nsid w:val="447C0C0E"/>
    <w:multiLevelType w:val="hybridMultilevel"/>
    <w:tmpl w:val="0C4E5E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B7633B3"/>
    <w:multiLevelType w:val="hybridMultilevel"/>
    <w:tmpl w:val="53B6F0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CD6681B"/>
    <w:multiLevelType w:val="hybridMultilevel"/>
    <w:tmpl w:val="5192CE70"/>
    <w:lvl w:ilvl="0" w:tplc="01A09FC8">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FC32875"/>
    <w:multiLevelType w:val="hybridMultilevel"/>
    <w:tmpl w:val="986863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DD61A2"/>
    <w:multiLevelType w:val="singleLevel"/>
    <w:tmpl w:val="A77246B8"/>
    <w:lvl w:ilvl="0">
      <w:start w:val="1"/>
      <w:numFmt w:val="decimal"/>
      <w:lvlText w:val="6.%1"/>
      <w:legacy w:legacy="1" w:legacySpace="0" w:legacyIndent="482"/>
      <w:lvlJc w:val="left"/>
      <w:rPr>
        <w:rFonts w:ascii="Times New Roman" w:hAnsi="Times New Roman" w:cs="Times New Roman" w:hint="default"/>
      </w:rPr>
    </w:lvl>
  </w:abstractNum>
  <w:abstractNum w:abstractNumId="26" w15:restartNumberingAfterBreak="0">
    <w:nsid w:val="5212421C"/>
    <w:multiLevelType w:val="hybridMultilevel"/>
    <w:tmpl w:val="DE1C6742"/>
    <w:lvl w:ilvl="0" w:tplc="C66A4E10">
      <w:start w:val="1"/>
      <w:numFmt w:val="lowerLetter"/>
      <w:pStyle w:val="Lettres"/>
      <w:lvlText w:val="%1."/>
      <w:lvlJc w:val="left"/>
      <w:pPr>
        <w:ind w:left="1068" w:hanging="360"/>
      </w:pPr>
      <w:rPr>
        <w:rFonts w:cs="Times New Roman"/>
      </w:rPr>
    </w:lvl>
    <w:lvl w:ilvl="1" w:tplc="040C0019" w:tentative="1">
      <w:start w:val="1"/>
      <w:numFmt w:val="lowerLetter"/>
      <w:lvlText w:val="%2."/>
      <w:lvlJc w:val="left"/>
      <w:pPr>
        <w:ind w:left="1788" w:hanging="360"/>
      </w:pPr>
      <w:rPr>
        <w:rFonts w:cs="Times New Roman"/>
      </w:rPr>
    </w:lvl>
    <w:lvl w:ilvl="2" w:tplc="040C001B" w:tentative="1">
      <w:start w:val="1"/>
      <w:numFmt w:val="lowerRoman"/>
      <w:lvlText w:val="%3."/>
      <w:lvlJc w:val="right"/>
      <w:pPr>
        <w:ind w:left="2508" w:hanging="180"/>
      </w:pPr>
      <w:rPr>
        <w:rFonts w:cs="Times New Roman"/>
      </w:rPr>
    </w:lvl>
    <w:lvl w:ilvl="3" w:tplc="040C000F" w:tentative="1">
      <w:start w:val="1"/>
      <w:numFmt w:val="decimal"/>
      <w:lvlText w:val="%4."/>
      <w:lvlJc w:val="left"/>
      <w:pPr>
        <w:ind w:left="3228" w:hanging="360"/>
      </w:pPr>
      <w:rPr>
        <w:rFonts w:cs="Times New Roman"/>
      </w:rPr>
    </w:lvl>
    <w:lvl w:ilvl="4" w:tplc="040C0019" w:tentative="1">
      <w:start w:val="1"/>
      <w:numFmt w:val="lowerLetter"/>
      <w:lvlText w:val="%5."/>
      <w:lvlJc w:val="left"/>
      <w:pPr>
        <w:ind w:left="3948" w:hanging="360"/>
      </w:pPr>
      <w:rPr>
        <w:rFonts w:cs="Times New Roman"/>
      </w:rPr>
    </w:lvl>
    <w:lvl w:ilvl="5" w:tplc="040C001B" w:tentative="1">
      <w:start w:val="1"/>
      <w:numFmt w:val="lowerRoman"/>
      <w:lvlText w:val="%6."/>
      <w:lvlJc w:val="right"/>
      <w:pPr>
        <w:ind w:left="4668" w:hanging="180"/>
      </w:pPr>
      <w:rPr>
        <w:rFonts w:cs="Times New Roman"/>
      </w:rPr>
    </w:lvl>
    <w:lvl w:ilvl="6" w:tplc="040C000F" w:tentative="1">
      <w:start w:val="1"/>
      <w:numFmt w:val="decimal"/>
      <w:lvlText w:val="%7."/>
      <w:lvlJc w:val="left"/>
      <w:pPr>
        <w:ind w:left="5388" w:hanging="360"/>
      </w:pPr>
      <w:rPr>
        <w:rFonts w:cs="Times New Roman"/>
      </w:rPr>
    </w:lvl>
    <w:lvl w:ilvl="7" w:tplc="040C0019" w:tentative="1">
      <w:start w:val="1"/>
      <w:numFmt w:val="lowerLetter"/>
      <w:lvlText w:val="%8."/>
      <w:lvlJc w:val="left"/>
      <w:pPr>
        <w:ind w:left="6108" w:hanging="360"/>
      </w:pPr>
      <w:rPr>
        <w:rFonts w:cs="Times New Roman"/>
      </w:rPr>
    </w:lvl>
    <w:lvl w:ilvl="8" w:tplc="040C001B" w:tentative="1">
      <w:start w:val="1"/>
      <w:numFmt w:val="lowerRoman"/>
      <w:lvlText w:val="%9."/>
      <w:lvlJc w:val="right"/>
      <w:pPr>
        <w:ind w:left="6828" w:hanging="180"/>
      </w:pPr>
      <w:rPr>
        <w:rFonts w:cs="Times New Roman"/>
      </w:rPr>
    </w:lvl>
  </w:abstractNum>
  <w:abstractNum w:abstractNumId="27" w15:restartNumberingAfterBreak="0">
    <w:nsid w:val="59217D03"/>
    <w:multiLevelType w:val="hybridMultilevel"/>
    <w:tmpl w:val="689A677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A344941"/>
    <w:multiLevelType w:val="hybridMultilevel"/>
    <w:tmpl w:val="F43E9720"/>
    <w:lvl w:ilvl="0" w:tplc="040C000F">
      <w:start w:val="1"/>
      <w:numFmt w:val="decimal"/>
      <w:lvlText w:val="%1."/>
      <w:lvlJc w:val="left"/>
      <w:pPr>
        <w:ind w:left="720" w:hanging="360"/>
      </w:pPr>
    </w:lvl>
    <w:lvl w:ilvl="1" w:tplc="CC4C197A">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B447B1"/>
    <w:multiLevelType w:val="multilevel"/>
    <w:tmpl w:val="3CA01A18"/>
    <w:lvl w:ilvl="0">
      <w:start w:val="1"/>
      <w:numFmt w:val="decimal"/>
      <w:pStyle w:val="Questions"/>
      <w:lvlText w:val="%1."/>
      <w:lvlJc w:val="left"/>
      <w:pPr>
        <w:ind w:left="720" w:hanging="360"/>
      </w:pPr>
      <w:rPr>
        <w:rFonts w:cs="Times New Roman" w:hint="default"/>
      </w:rPr>
    </w:lvl>
    <w:lvl w:ilvl="1">
      <w:start w:val="1"/>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30" w15:restartNumberingAfterBreak="0">
    <w:nsid w:val="5F50591D"/>
    <w:multiLevelType w:val="singleLevel"/>
    <w:tmpl w:val="14A08C0E"/>
    <w:lvl w:ilvl="0">
      <w:start w:val="1"/>
      <w:numFmt w:val="decimal"/>
      <w:lvlText w:val="1.%1"/>
      <w:legacy w:legacy="1" w:legacySpace="0" w:legacyIndent="406"/>
      <w:lvlJc w:val="left"/>
      <w:rPr>
        <w:rFonts w:ascii="Times New Roman" w:hAnsi="Times New Roman" w:cs="Times New Roman" w:hint="default"/>
      </w:rPr>
    </w:lvl>
  </w:abstractNum>
  <w:abstractNum w:abstractNumId="31" w15:restartNumberingAfterBreak="0">
    <w:nsid w:val="6791782A"/>
    <w:multiLevelType w:val="hybridMultilevel"/>
    <w:tmpl w:val="F098C0C4"/>
    <w:lvl w:ilvl="0" w:tplc="040C000F">
      <w:start w:val="1"/>
      <w:numFmt w:val="decimal"/>
      <w:lvlText w:val="%1."/>
      <w:lvlJc w:val="left"/>
      <w:pPr>
        <w:ind w:left="720" w:hanging="360"/>
      </w:pPr>
      <w:rPr>
        <w:rFonts w:hint="default"/>
      </w:rPr>
    </w:lvl>
    <w:lvl w:ilvl="1" w:tplc="D8FE0694">
      <w:start w:val="5"/>
      <w:numFmt w:val="bullet"/>
      <w:lvlText w:val="-"/>
      <w:lvlJc w:val="left"/>
      <w:pPr>
        <w:ind w:left="1440" w:hanging="360"/>
      </w:pPr>
      <w:rPr>
        <w:rFonts w:ascii="Tahoma" w:eastAsia="Calibri" w:hAnsi="Tahoma" w:cs="Tahoma"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81828A5"/>
    <w:multiLevelType w:val="hybridMultilevel"/>
    <w:tmpl w:val="130AD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BFC675A"/>
    <w:multiLevelType w:val="hybridMultilevel"/>
    <w:tmpl w:val="14CE73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DF80A6D"/>
    <w:multiLevelType w:val="hybridMultilevel"/>
    <w:tmpl w:val="A3CA2BD4"/>
    <w:lvl w:ilvl="0" w:tplc="ABAC6CCC">
      <w:start w:val="1"/>
      <w:numFmt w:val="decimal"/>
      <w:pStyle w:val="QuestionsMana"/>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5" w15:restartNumberingAfterBreak="0">
    <w:nsid w:val="75075726"/>
    <w:multiLevelType w:val="hybridMultilevel"/>
    <w:tmpl w:val="A58ECF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5E354DA"/>
    <w:multiLevelType w:val="hybridMultilevel"/>
    <w:tmpl w:val="093EDA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BD766F"/>
    <w:multiLevelType w:val="hybridMultilevel"/>
    <w:tmpl w:val="CA3039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6"/>
  </w:num>
  <w:num w:numId="2">
    <w:abstractNumId w:val="29"/>
  </w:num>
  <w:num w:numId="3">
    <w:abstractNumId w:val="34"/>
  </w:num>
  <w:num w:numId="4">
    <w:abstractNumId w:val="21"/>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7"/>
  </w:num>
  <w:num w:numId="8">
    <w:abstractNumId w:val="31"/>
  </w:num>
  <w:num w:numId="9">
    <w:abstractNumId w:val="28"/>
  </w:num>
  <w:num w:numId="10">
    <w:abstractNumId w:val="3"/>
  </w:num>
  <w:num w:numId="11">
    <w:abstractNumId w:val="37"/>
  </w:num>
  <w:num w:numId="12">
    <w:abstractNumId w:val="5"/>
  </w:num>
  <w:num w:numId="13">
    <w:abstractNumId w:val="33"/>
  </w:num>
  <w:num w:numId="14">
    <w:abstractNumId w:val="8"/>
  </w:num>
  <w:num w:numId="15">
    <w:abstractNumId w:val="2"/>
  </w:num>
  <w:num w:numId="16">
    <w:abstractNumId w:val="35"/>
  </w:num>
  <w:num w:numId="17">
    <w:abstractNumId w:val="11"/>
  </w:num>
  <w:num w:numId="18">
    <w:abstractNumId w:val="19"/>
  </w:num>
  <w:num w:numId="19">
    <w:abstractNumId w:val="22"/>
  </w:num>
  <w:num w:numId="20">
    <w:abstractNumId w:val="30"/>
  </w:num>
  <w:num w:numId="21">
    <w:abstractNumId w:val="30"/>
    <w:lvlOverride w:ilvl="0">
      <w:lvl w:ilvl="0">
        <w:start w:val="1"/>
        <w:numFmt w:val="decimal"/>
        <w:lvlText w:val="1.%1"/>
        <w:legacy w:legacy="1" w:legacySpace="0" w:legacyIndent="405"/>
        <w:lvlJc w:val="left"/>
        <w:rPr>
          <w:rFonts w:ascii="Times New Roman" w:hAnsi="Times New Roman" w:cs="Times New Roman" w:hint="default"/>
        </w:rPr>
      </w:lvl>
    </w:lvlOverride>
  </w:num>
  <w:num w:numId="22">
    <w:abstractNumId w:val="17"/>
  </w:num>
  <w:num w:numId="23">
    <w:abstractNumId w:val="1"/>
  </w:num>
  <w:num w:numId="24">
    <w:abstractNumId w:val="13"/>
  </w:num>
  <w:num w:numId="25">
    <w:abstractNumId w:val="18"/>
  </w:num>
  <w:num w:numId="26">
    <w:abstractNumId w:val="7"/>
  </w:num>
  <w:num w:numId="27">
    <w:abstractNumId w:val="25"/>
  </w:num>
  <w:num w:numId="28">
    <w:abstractNumId w:val="25"/>
    <w:lvlOverride w:ilvl="0">
      <w:lvl w:ilvl="0">
        <w:start w:val="1"/>
        <w:numFmt w:val="decimal"/>
        <w:lvlText w:val="6.%1"/>
        <w:legacy w:legacy="1" w:legacySpace="0" w:legacyIndent="483"/>
        <w:lvlJc w:val="left"/>
        <w:rPr>
          <w:rFonts w:ascii="Times New Roman" w:hAnsi="Times New Roman" w:cs="Times New Roman" w:hint="default"/>
        </w:rPr>
      </w:lvl>
    </w:lvlOverride>
  </w:num>
  <w:num w:numId="29">
    <w:abstractNumId w:val="20"/>
  </w:num>
  <w:num w:numId="30">
    <w:abstractNumId w:val="0"/>
    <w:lvlOverride w:ilvl="0">
      <w:lvl w:ilvl="0">
        <w:start w:val="65535"/>
        <w:numFmt w:val="bullet"/>
        <w:lvlText w:val="-"/>
        <w:legacy w:legacy="1" w:legacySpace="0" w:legacyIndent="412"/>
        <w:lvlJc w:val="left"/>
        <w:rPr>
          <w:rFonts w:ascii="Times New Roman" w:hAnsi="Times New Roman" w:cs="Times New Roman" w:hint="default"/>
        </w:rPr>
      </w:lvl>
    </w:lvlOverride>
  </w:num>
  <w:num w:numId="31">
    <w:abstractNumId w:val="6"/>
  </w:num>
  <w:num w:numId="32">
    <w:abstractNumId w:val="12"/>
  </w:num>
  <w:num w:numId="33">
    <w:abstractNumId w:val="36"/>
  </w:num>
  <w:num w:numId="34">
    <w:abstractNumId w:val="9"/>
  </w:num>
  <w:num w:numId="35">
    <w:abstractNumId w:val="10"/>
  </w:num>
  <w:num w:numId="36">
    <w:abstractNumId w:val="14"/>
  </w:num>
  <w:num w:numId="37">
    <w:abstractNumId w:val="24"/>
  </w:num>
  <w:num w:numId="38">
    <w:abstractNumId w:val="16"/>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23"/>
  </w:num>
  <w:num w:numId="44">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attachedTemplate r:id="rId1"/>
  <w:linkStyles/>
  <w:defaultTabStop w:val="720"/>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03"/>
    <w:rsid w:val="00000C34"/>
    <w:rsid w:val="00017320"/>
    <w:rsid w:val="00022163"/>
    <w:rsid w:val="000226B6"/>
    <w:rsid w:val="00024704"/>
    <w:rsid w:val="00024D3A"/>
    <w:rsid w:val="0002743B"/>
    <w:rsid w:val="0003239D"/>
    <w:rsid w:val="00033B12"/>
    <w:rsid w:val="00034F68"/>
    <w:rsid w:val="00035182"/>
    <w:rsid w:val="0004011A"/>
    <w:rsid w:val="0005133F"/>
    <w:rsid w:val="00051D76"/>
    <w:rsid w:val="00056142"/>
    <w:rsid w:val="00056590"/>
    <w:rsid w:val="000628DC"/>
    <w:rsid w:val="00064181"/>
    <w:rsid w:val="00076385"/>
    <w:rsid w:val="0007702E"/>
    <w:rsid w:val="000824A8"/>
    <w:rsid w:val="00085F83"/>
    <w:rsid w:val="00085F8D"/>
    <w:rsid w:val="00097589"/>
    <w:rsid w:val="000A1A27"/>
    <w:rsid w:val="000A3DE1"/>
    <w:rsid w:val="000A3EF8"/>
    <w:rsid w:val="000A5A35"/>
    <w:rsid w:val="000B0A68"/>
    <w:rsid w:val="000B1216"/>
    <w:rsid w:val="000B44C6"/>
    <w:rsid w:val="000B5AF2"/>
    <w:rsid w:val="000B62CF"/>
    <w:rsid w:val="000C0014"/>
    <w:rsid w:val="000C2DEE"/>
    <w:rsid w:val="000C690F"/>
    <w:rsid w:val="000D0F81"/>
    <w:rsid w:val="000D3881"/>
    <w:rsid w:val="000E15E4"/>
    <w:rsid w:val="000E1DE8"/>
    <w:rsid w:val="000E4AB0"/>
    <w:rsid w:val="000E6C2A"/>
    <w:rsid w:val="000F369A"/>
    <w:rsid w:val="000F444B"/>
    <w:rsid w:val="0010328E"/>
    <w:rsid w:val="00110B0A"/>
    <w:rsid w:val="001117AF"/>
    <w:rsid w:val="001136FC"/>
    <w:rsid w:val="00115F59"/>
    <w:rsid w:val="00131673"/>
    <w:rsid w:val="00132E0C"/>
    <w:rsid w:val="0013582C"/>
    <w:rsid w:val="00143401"/>
    <w:rsid w:val="00147C3B"/>
    <w:rsid w:val="00151280"/>
    <w:rsid w:val="00152A39"/>
    <w:rsid w:val="001552F1"/>
    <w:rsid w:val="001634D5"/>
    <w:rsid w:val="00171868"/>
    <w:rsid w:val="00173FBB"/>
    <w:rsid w:val="00176CEE"/>
    <w:rsid w:val="00194D11"/>
    <w:rsid w:val="00196D0C"/>
    <w:rsid w:val="001B26C7"/>
    <w:rsid w:val="001C3896"/>
    <w:rsid w:val="001C4DE2"/>
    <w:rsid w:val="001D00DB"/>
    <w:rsid w:val="001D54FE"/>
    <w:rsid w:val="001E0099"/>
    <w:rsid w:val="001E2FEB"/>
    <w:rsid w:val="001F27F5"/>
    <w:rsid w:val="001F5BED"/>
    <w:rsid w:val="001F68D5"/>
    <w:rsid w:val="00203AA3"/>
    <w:rsid w:val="002109DF"/>
    <w:rsid w:val="002213AC"/>
    <w:rsid w:val="00224CB7"/>
    <w:rsid w:val="00231010"/>
    <w:rsid w:val="0023608D"/>
    <w:rsid w:val="00242EE7"/>
    <w:rsid w:val="00243C4C"/>
    <w:rsid w:val="002607BF"/>
    <w:rsid w:val="0026275E"/>
    <w:rsid w:val="00262FB4"/>
    <w:rsid w:val="00263ACF"/>
    <w:rsid w:val="002653AA"/>
    <w:rsid w:val="0027251F"/>
    <w:rsid w:val="002816B4"/>
    <w:rsid w:val="00287F0F"/>
    <w:rsid w:val="002B7D15"/>
    <w:rsid w:val="002C45F5"/>
    <w:rsid w:val="002C59E4"/>
    <w:rsid w:val="002D260F"/>
    <w:rsid w:val="002D51ED"/>
    <w:rsid w:val="002D60B7"/>
    <w:rsid w:val="002F0055"/>
    <w:rsid w:val="002F0931"/>
    <w:rsid w:val="002F1370"/>
    <w:rsid w:val="002F2384"/>
    <w:rsid w:val="00306605"/>
    <w:rsid w:val="00307299"/>
    <w:rsid w:val="003119A6"/>
    <w:rsid w:val="0031476C"/>
    <w:rsid w:val="00316E79"/>
    <w:rsid w:val="003177BF"/>
    <w:rsid w:val="00322540"/>
    <w:rsid w:val="00326045"/>
    <w:rsid w:val="00326558"/>
    <w:rsid w:val="00327D2E"/>
    <w:rsid w:val="00332FD3"/>
    <w:rsid w:val="00340116"/>
    <w:rsid w:val="00340C0E"/>
    <w:rsid w:val="00343FC2"/>
    <w:rsid w:val="003516FB"/>
    <w:rsid w:val="00356FCF"/>
    <w:rsid w:val="0036168E"/>
    <w:rsid w:val="00363119"/>
    <w:rsid w:val="003644B2"/>
    <w:rsid w:val="00365F6B"/>
    <w:rsid w:val="00370E1E"/>
    <w:rsid w:val="00372407"/>
    <w:rsid w:val="003736A6"/>
    <w:rsid w:val="0037421A"/>
    <w:rsid w:val="003747FE"/>
    <w:rsid w:val="00393FB8"/>
    <w:rsid w:val="00394DA8"/>
    <w:rsid w:val="00396B74"/>
    <w:rsid w:val="003C0544"/>
    <w:rsid w:val="003C06CC"/>
    <w:rsid w:val="003C323B"/>
    <w:rsid w:val="003D11EE"/>
    <w:rsid w:val="003D317C"/>
    <w:rsid w:val="003D445D"/>
    <w:rsid w:val="003D75F8"/>
    <w:rsid w:val="003F1E36"/>
    <w:rsid w:val="003F6D98"/>
    <w:rsid w:val="00405B8D"/>
    <w:rsid w:val="00406A8F"/>
    <w:rsid w:val="00413FB6"/>
    <w:rsid w:val="00434058"/>
    <w:rsid w:val="0043538C"/>
    <w:rsid w:val="00436230"/>
    <w:rsid w:val="004407D5"/>
    <w:rsid w:val="00441E01"/>
    <w:rsid w:val="00460771"/>
    <w:rsid w:val="004651A0"/>
    <w:rsid w:val="00467E59"/>
    <w:rsid w:val="0047522B"/>
    <w:rsid w:val="00475BE4"/>
    <w:rsid w:val="00483B14"/>
    <w:rsid w:val="00485C2B"/>
    <w:rsid w:val="00490C28"/>
    <w:rsid w:val="004915BB"/>
    <w:rsid w:val="004A6B1A"/>
    <w:rsid w:val="004B4D1E"/>
    <w:rsid w:val="004D4677"/>
    <w:rsid w:val="004E098B"/>
    <w:rsid w:val="004E0DEA"/>
    <w:rsid w:val="004F3F09"/>
    <w:rsid w:val="00512429"/>
    <w:rsid w:val="005135F3"/>
    <w:rsid w:val="0052052D"/>
    <w:rsid w:val="00521E30"/>
    <w:rsid w:val="00535C75"/>
    <w:rsid w:val="00541538"/>
    <w:rsid w:val="00554AEC"/>
    <w:rsid w:val="005610F6"/>
    <w:rsid w:val="005618C8"/>
    <w:rsid w:val="005631AE"/>
    <w:rsid w:val="0056522C"/>
    <w:rsid w:val="00571BF2"/>
    <w:rsid w:val="00571C5F"/>
    <w:rsid w:val="00574ADE"/>
    <w:rsid w:val="00576E27"/>
    <w:rsid w:val="0058204A"/>
    <w:rsid w:val="0058245D"/>
    <w:rsid w:val="00584008"/>
    <w:rsid w:val="005840CE"/>
    <w:rsid w:val="005854EF"/>
    <w:rsid w:val="00586F33"/>
    <w:rsid w:val="005923F5"/>
    <w:rsid w:val="005931E7"/>
    <w:rsid w:val="00593344"/>
    <w:rsid w:val="00595D68"/>
    <w:rsid w:val="005963EF"/>
    <w:rsid w:val="005A34B4"/>
    <w:rsid w:val="005A460B"/>
    <w:rsid w:val="005A4740"/>
    <w:rsid w:val="005A6DDF"/>
    <w:rsid w:val="005A75F8"/>
    <w:rsid w:val="005B4464"/>
    <w:rsid w:val="005B7300"/>
    <w:rsid w:val="005C2198"/>
    <w:rsid w:val="005C4E9D"/>
    <w:rsid w:val="005E08F3"/>
    <w:rsid w:val="005E31E6"/>
    <w:rsid w:val="005F37A8"/>
    <w:rsid w:val="0060681E"/>
    <w:rsid w:val="00613709"/>
    <w:rsid w:val="00613DE7"/>
    <w:rsid w:val="00615A5B"/>
    <w:rsid w:val="0061701A"/>
    <w:rsid w:val="006272F3"/>
    <w:rsid w:val="00642477"/>
    <w:rsid w:val="00643A2E"/>
    <w:rsid w:val="006546C7"/>
    <w:rsid w:val="006624C9"/>
    <w:rsid w:val="00665623"/>
    <w:rsid w:val="006705E7"/>
    <w:rsid w:val="00685EE9"/>
    <w:rsid w:val="00687087"/>
    <w:rsid w:val="00693449"/>
    <w:rsid w:val="006B07AC"/>
    <w:rsid w:val="006B17F1"/>
    <w:rsid w:val="006B785F"/>
    <w:rsid w:val="006E16D7"/>
    <w:rsid w:val="006F3381"/>
    <w:rsid w:val="0070392C"/>
    <w:rsid w:val="0070579E"/>
    <w:rsid w:val="00711887"/>
    <w:rsid w:val="00712F6F"/>
    <w:rsid w:val="007138AE"/>
    <w:rsid w:val="0071418A"/>
    <w:rsid w:val="007329C5"/>
    <w:rsid w:val="007461A6"/>
    <w:rsid w:val="00747938"/>
    <w:rsid w:val="0075012A"/>
    <w:rsid w:val="0075737E"/>
    <w:rsid w:val="00762339"/>
    <w:rsid w:val="00762C02"/>
    <w:rsid w:val="00763B2C"/>
    <w:rsid w:val="00765612"/>
    <w:rsid w:val="007815CB"/>
    <w:rsid w:val="0078439A"/>
    <w:rsid w:val="007903BF"/>
    <w:rsid w:val="007947F9"/>
    <w:rsid w:val="00796B3D"/>
    <w:rsid w:val="00797E8E"/>
    <w:rsid w:val="007A4696"/>
    <w:rsid w:val="007B1213"/>
    <w:rsid w:val="007C3CB3"/>
    <w:rsid w:val="007C79B4"/>
    <w:rsid w:val="007D4954"/>
    <w:rsid w:val="007E108C"/>
    <w:rsid w:val="007E3BB8"/>
    <w:rsid w:val="007E6147"/>
    <w:rsid w:val="007E6242"/>
    <w:rsid w:val="00802248"/>
    <w:rsid w:val="008052C0"/>
    <w:rsid w:val="00814122"/>
    <w:rsid w:val="00815FAE"/>
    <w:rsid w:val="00816CD1"/>
    <w:rsid w:val="00820E88"/>
    <w:rsid w:val="00826FEE"/>
    <w:rsid w:val="00840FD6"/>
    <w:rsid w:val="00843E1D"/>
    <w:rsid w:val="00845186"/>
    <w:rsid w:val="00854108"/>
    <w:rsid w:val="00855CB3"/>
    <w:rsid w:val="00871214"/>
    <w:rsid w:val="008734D5"/>
    <w:rsid w:val="00880EA0"/>
    <w:rsid w:val="008A38D6"/>
    <w:rsid w:val="008B71DD"/>
    <w:rsid w:val="008C03CA"/>
    <w:rsid w:val="008C2B45"/>
    <w:rsid w:val="008C5BDD"/>
    <w:rsid w:val="008C5DA6"/>
    <w:rsid w:val="008C66B1"/>
    <w:rsid w:val="008D2A74"/>
    <w:rsid w:val="008D3DE5"/>
    <w:rsid w:val="008D442D"/>
    <w:rsid w:val="008E0FDD"/>
    <w:rsid w:val="008E324E"/>
    <w:rsid w:val="008E796D"/>
    <w:rsid w:val="008F07DB"/>
    <w:rsid w:val="008F1344"/>
    <w:rsid w:val="008F3652"/>
    <w:rsid w:val="008F529C"/>
    <w:rsid w:val="008F7F9E"/>
    <w:rsid w:val="009043AB"/>
    <w:rsid w:val="009071A1"/>
    <w:rsid w:val="00911713"/>
    <w:rsid w:val="0091613C"/>
    <w:rsid w:val="00923F61"/>
    <w:rsid w:val="009368C8"/>
    <w:rsid w:val="00936EE1"/>
    <w:rsid w:val="00946D56"/>
    <w:rsid w:val="009517D6"/>
    <w:rsid w:val="0095516B"/>
    <w:rsid w:val="00957637"/>
    <w:rsid w:val="00962441"/>
    <w:rsid w:val="00972C62"/>
    <w:rsid w:val="009A34EF"/>
    <w:rsid w:val="009A45BB"/>
    <w:rsid w:val="009A45F3"/>
    <w:rsid w:val="009B23B4"/>
    <w:rsid w:val="009B36F5"/>
    <w:rsid w:val="009B4741"/>
    <w:rsid w:val="009B4842"/>
    <w:rsid w:val="009B5A3D"/>
    <w:rsid w:val="009B6882"/>
    <w:rsid w:val="009C0B89"/>
    <w:rsid w:val="009D2F18"/>
    <w:rsid w:val="009E21A2"/>
    <w:rsid w:val="009E4053"/>
    <w:rsid w:val="009F545F"/>
    <w:rsid w:val="009F650D"/>
    <w:rsid w:val="009F726C"/>
    <w:rsid w:val="009F7CF8"/>
    <w:rsid w:val="009F7DDF"/>
    <w:rsid w:val="00A00AE2"/>
    <w:rsid w:val="00A01C7E"/>
    <w:rsid w:val="00A0758E"/>
    <w:rsid w:val="00A076F6"/>
    <w:rsid w:val="00A112A5"/>
    <w:rsid w:val="00A13632"/>
    <w:rsid w:val="00A20E4D"/>
    <w:rsid w:val="00A33796"/>
    <w:rsid w:val="00A34747"/>
    <w:rsid w:val="00A34B35"/>
    <w:rsid w:val="00A372A6"/>
    <w:rsid w:val="00A41281"/>
    <w:rsid w:val="00A44B5B"/>
    <w:rsid w:val="00A46207"/>
    <w:rsid w:val="00A74FFD"/>
    <w:rsid w:val="00A77838"/>
    <w:rsid w:val="00A848DA"/>
    <w:rsid w:val="00A871B0"/>
    <w:rsid w:val="00A87410"/>
    <w:rsid w:val="00AA1EB3"/>
    <w:rsid w:val="00AB2B5C"/>
    <w:rsid w:val="00AB3C3E"/>
    <w:rsid w:val="00AB3C58"/>
    <w:rsid w:val="00AB649A"/>
    <w:rsid w:val="00AB6774"/>
    <w:rsid w:val="00AE1AA5"/>
    <w:rsid w:val="00AF5FCB"/>
    <w:rsid w:val="00B0042D"/>
    <w:rsid w:val="00B033D8"/>
    <w:rsid w:val="00B0739C"/>
    <w:rsid w:val="00B119E4"/>
    <w:rsid w:val="00B14968"/>
    <w:rsid w:val="00B21A48"/>
    <w:rsid w:val="00B23987"/>
    <w:rsid w:val="00B27360"/>
    <w:rsid w:val="00B37617"/>
    <w:rsid w:val="00B403D5"/>
    <w:rsid w:val="00B45060"/>
    <w:rsid w:val="00B47773"/>
    <w:rsid w:val="00B50170"/>
    <w:rsid w:val="00B54199"/>
    <w:rsid w:val="00B5638E"/>
    <w:rsid w:val="00B6166A"/>
    <w:rsid w:val="00B82C14"/>
    <w:rsid w:val="00B84A83"/>
    <w:rsid w:val="00B9075F"/>
    <w:rsid w:val="00B9282C"/>
    <w:rsid w:val="00BA0C23"/>
    <w:rsid w:val="00BA219E"/>
    <w:rsid w:val="00BA712B"/>
    <w:rsid w:val="00BA7A6A"/>
    <w:rsid w:val="00BA7B99"/>
    <w:rsid w:val="00BB7D03"/>
    <w:rsid w:val="00BC464A"/>
    <w:rsid w:val="00BC7623"/>
    <w:rsid w:val="00BE4935"/>
    <w:rsid w:val="00C11496"/>
    <w:rsid w:val="00C17CF6"/>
    <w:rsid w:val="00C20E25"/>
    <w:rsid w:val="00C22ED8"/>
    <w:rsid w:val="00C26416"/>
    <w:rsid w:val="00C405E4"/>
    <w:rsid w:val="00C4327E"/>
    <w:rsid w:val="00C538A0"/>
    <w:rsid w:val="00C56FC4"/>
    <w:rsid w:val="00C7512C"/>
    <w:rsid w:val="00C77538"/>
    <w:rsid w:val="00C8047B"/>
    <w:rsid w:val="00C81BCE"/>
    <w:rsid w:val="00C8459A"/>
    <w:rsid w:val="00C90051"/>
    <w:rsid w:val="00C93F9C"/>
    <w:rsid w:val="00C97AE3"/>
    <w:rsid w:val="00CA1243"/>
    <w:rsid w:val="00CA14D4"/>
    <w:rsid w:val="00CA2C6B"/>
    <w:rsid w:val="00CA7DF6"/>
    <w:rsid w:val="00CB2D50"/>
    <w:rsid w:val="00CB6944"/>
    <w:rsid w:val="00CB725F"/>
    <w:rsid w:val="00CC15A8"/>
    <w:rsid w:val="00CC2282"/>
    <w:rsid w:val="00CC7ADC"/>
    <w:rsid w:val="00CD1331"/>
    <w:rsid w:val="00CF0694"/>
    <w:rsid w:val="00CF3838"/>
    <w:rsid w:val="00CF71F6"/>
    <w:rsid w:val="00D000DB"/>
    <w:rsid w:val="00D0120B"/>
    <w:rsid w:val="00D01AC8"/>
    <w:rsid w:val="00D15252"/>
    <w:rsid w:val="00D172AA"/>
    <w:rsid w:val="00D208BA"/>
    <w:rsid w:val="00D20CAA"/>
    <w:rsid w:val="00D22F1C"/>
    <w:rsid w:val="00D253E7"/>
    <w:rsid w:val="00D26381"/>
    <w:rsid w:val="00D30CFF"/>
    <w:rsid w:val="00D3790F"/>
    <w:rsid w:val="00D41511"/>
    <w:rsid w:val="00D476CB"/>
    <w:rsid w:val="00D5224F"/>
    <w:rsid w:val="00D5390E"/>
    <w:rsid w:val="00D57A4E"/>
    <w:rsid w:val="00D57BD1"/>
    <w:rsid w:val="00D606E2"/>
    <w:rsid w:val="00D61699"/>
    <w:rsid w:val="00D64660"/>
    <w:rsid w:val="00D7545B"/>
    <w:rsid w:val="00D96C4B"/>
    <w:rsid w:val="00DA1841"/>
    <w:rsid w:val="00DA375C"/>
    <w:rsid w:val="00DB6149"/>
    <w:rsid w:val="00DC4CD8"/>
    <w:rsid w:val="00DC63BC"/>
    <w:rsid w:val="00DC6F5B"/>
    <w:rsid w:val="00DC7532"/>
    <w:rsid w:val="00DD644A"/>
    <w:rsid w:val="00DD73EF"/>
    <w:rsid w:val="00DE0FCF"/>
    <w:rsid w:val="00DF0F6F"/>
    <w:rsid w:val="00E0369A"/>
    <w:rsid w:val="00E055A8"/>
    <w:rsid w:val="00E12B55"/>
    <w:rsid w:val="00E52C4E"/>
    <w:rsid w:val="00E53460"/>
    <w:rsid w:val="00E6069B"/>
    <w:rsid w:val="00E61279"/>
    <w:rsid w:val="00E96C68"/>
    <w:rsid w:val="00E97AB4"/>
    <w:rsid w:val="00EC2E9E"/>
    <w:rsid w:val="00EC4B50"/>
    <w:rsid w:val="00ED5403"/>
    <w:rsid w:val="00EE220F"/>
    <w:rsid w:val="00EF0C35"/>
    <w:rsid w:val="00F01287"/>
    <w:rsid w:val="00F1128D"/>
    <w:rsid w:val="00F14424"/>
    <w:rsid w:val="00F158FE"/>
    <w:rsid w:val="00F25D41"/>
    <w:rsid w:val="00F27A30"/>
    <w:rsid w:val="00F32BFD"/>
    <w:rsid w:val="00F32D7E"/>
    <w:rsid w:val="00F353CF"/>
    <w:rsid w:val="00F46411"/>
    <w:rsid w:val="00F5241A"/>
    <w:rsid w:val="00F547E1"/>
    <w:rsid w:val="00F61588"/>
    <w:rsid w:val="00F7653C"/>
    <w:rsid w:val="00F86708"/>
    <w:rsid w:val="00F87D56"/>
    <w:rsid w:val="00F92924"/>
    <w:rsid w:val="00F92BC2"/>
    <w:rsid w:val="00F93F64"/>
    <w:rsid w:val="00FA10AF"/>
    <w:rsid w:val="00FA247C"/>
    <w:rsid w:val="00FA7462"/>
    <w:rsid w:val="00FA7831"/>
    <w:rsid w:val="00FB4384"/>
    <w:rsid w:val="00FB5A7D"/>
    <w:rsid w:val="00FD691B"/>
    <w:rsid w:val="00FD7D54"/>
    <w:rsid w:val="00FE1C5D"/>
    <w:rsid w:val="00FE34BF"/>
    <w:rsid w:val="00FE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B86E"/>
  <w15:chartTrackingRefBased/>
  <w15:docId w15:val="{9F052D72-C0CE-4AFF-83AB-FE7679E98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1E01"/>
    <w:pPr>
      <w:spacing w:before="120" w:after="120"/>
      <w:jc w:val="both"/>
    </w:pPr>
    <w:rPr>
      <w:rFonts w:ascii="Tahoma" w:eastAsia="Times New Roman" w:hAnsi="Tahoma" w:cs="Calibri"/>
      <w:szCs w:val="24"/>
    </w:rPr>
  </w:style>
  <w:style w:type="paragraph" w:styleId="Titre1">
    <w:name w:val="heading 1"/>
    <w:basedOn w:val="Normal"/>
    <w:next w:val="Normal"/>
    <w:link w:val="Titre1Car"/>
    <w:uiPriority w:val="9"/>
    <w:rsid w:val="00C26416"/>
    <w:pPr>
      <w:keepNext/>
      <w:spacing w:before="240" w:after="60"/>
      <w:outlineLvl w:val="0"/>
    </w:pPr>
    <w:rPr>
      <w:rFonts w:ascii="Calibri Light" w:hAnsi="Calibri Light" w:cs="Times New Roman"/>
      <w:b/>
      <w:bCs/>
      <w:kern w:val="32"/>
      <w:sz w:val="32"/>
      <w:szCs w:val="32"/>
    </w:rPr>
  </w:style>
  <w:style w:type="paragraph" w:styleId="Titre2">
    <w:name w:val="heading 2"/>
    <w:basedOn w:val="Normal"/>
    <w:next w:val="Normal"/>
    <w:link w:val="Titre2Car"/>
    <w:rsid w:val="00441E01"/>
    <w:pPr>
      <w:keepNext/>
      <w:jc w:val="center"/>
      <w:outlineLvl w:val="1"/>
    </w:pPr>
    <w:rPr>
      <w:rFonts w:ascii="TimesNewRomanPS-BoldMT" w:hAnsi="TimesNewRomanPS-BoldMT"/>
      <w:b/>
      <w:bCs/>
      <w:sz w:val="19"/>
      <w:szCs w:val="19"/>
    </w:rPr>
  </w:style>
  <w:style w:type="paragraph" w:styleId="Titre3">
    <w:name w:val="heading 3"/>
    <w:basedOn w:val="Normal"/>
    <w:next w:val="Normal"/>
    <w:link w:val="Titre3Car"/>
    <w:uiPriority w:val="9"/>
    <w:unhideWhenUsed/>
    <w:rsid w:val="005B7300"/>
    <w:pPr>
      <w:keepNext/>
      <w:outlineLvl w:val="2"/>
    </w:pPr>
    <w:rPr>
      <w:rFonts w:eastAsia="Calibri" w:cs="Tahoma"/>
      <w:b/>
      <w:bCs/>
      <w:szCs w:val="20"/>
    </w:rPr>
  </w:style>
  <w:style w:type="paragraph" w:styleId="Titre4">
    <w:name w:val="heading 4"/>
    <w:basedOn w:val="Normal"/>
    <w:next w:val="Normal"/>
    <w:link w:val="Titre4Car"/>
    <w:uiPriority w:val="9"/>
    <w:unhideWhenUsed/>
    <w:qFormat/>
    <w:rsid w:val="00797E8E"/>
    <w:pPr>
      <w:keepNext/>
      <w:jc w:val="right"/>
      <w:outlineLvl w:val="3"/>
    </w:pPr>
    <w:rPr>
      <w:rFonts w:eastAsia="Calibri" w:cs="Tahoma"/>
      <w:b/>
      <w:bCs/>
      <w:i/>
      <w:szCs w:val="20"/>
    </w:rPr>
  </w:style>
  <w:style w:type="character" w:default="1" w:styleId="Policepardfaut">
    <w:name w:val="Default Paragraph Font"/>
    <w:uiPriority w:val="1"/>
    <w:unhideWhenUsed/>
    <w:rsid w:val="00441E01"/>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441E01"/>
  </w:style>
  <w:style w:type="paragraph" w:customStyle="1" w:styleId="Style1">
    <w:name w:val="Style1"/>
    <w:basedOn w:val="Normal"/>
    <w:uiPriority w:val="99"/>
    <w:rsid w:val="00441E01"/>
    <w:pPr>
      <w:spacing w:line="525" w:lineRule="exact"/>
      <w:jc w:val="center"/>
    </w:pPr>
  </w:style>
  <w:style w:type="paragraph" w:customStyle="1" w:styleId="Style2">
    <w:name w:val="Style2"/>
    <w:basedOn w:val="Normal"/>
    <w:uiPriority w:val="99"/>
    <w:rsid w:val="00441E01"/>
  </w:style>
  <w:style w:type="paragraph" w:customStyle="1" w:styleId="Style3">
    <w:name w:val="Style3"/>
    <w:basedOn w:val="Normal"/>
    <w:uiPriority w:val="99"/>
    <w:rsid w:val="00441E01"/>
    <w:pPr>
      <w:spacing w:line="266" w:lineRule="exact"/>
    </w:pPr>
  </w:style>
  <w:style w:type="paragraph" w:customStyle="1" w:styleId="Style4">
    <w:name w:val="Style4"/>
    <w:basedOn w:val="Normal"/>
    <w:uiPriority w:val="99"/>
    <w:rsid w:val="00441E01"/>
  </w:style>
  <w:style w:type="paragraph" w:customStyle="1" w:styleId="Style5">
    <w:name w:val="Style5"/>
    <w:basedOn w:val="Normal"/>
    <w:uiPriority w:val="99"/>
    <w:rsid w:val="00441E01"/>
    <w:pPr>
      <w:spacing w:line="280" w:lineRule="exact"/>
    </w:pPr>
  </w:style>
  <w:style w:type="paragraph" w:customStyle="1" w:styleId="Style6">
    <w:name w:val="Style6"/>
    <w:basedOn w:val="Normal"/>
    <w:uiPriority w:val="99"/>
    <w:rsid w:val="00441E01"/>
    <w:pPr>
      <w:spacing w:line="266" w:lineRule="exact"/>
      <w:ind w:firstLine="825"/>
    </w:pPr>
  </w:style>
  <w:style w:type="paragraph" w:customStyle="1" w:styleId="Style7">
    <w:name w:val="Style7"/>
    <w:basedOn w:val="Normal"/>
    <w:uiPriority w:val="99"/>
    <w:rsid w:val="00441E01"/>
    <w:pPr>
      <w:spacing w:line="273" w:lineRule="exact"/>
    </w:pPr>
  </w:style>
  <w:style w:type="paragraph" w:customStyle="1" w:styleId="Style8">
    <w:name w:val="Style8"/>
    <w:basedOn w:val="Normal"/>
    <w:uiPriority w:val="99"/>
    <w:rsid w:val="00441E01"/>
    <w:pPr>
      <w:spacing w:line="266" w:lineRule="exact"/>
      <w:ind w:hanging="482"/>
    </w:pPr>
  </w:style>
  <w:style w:type="paragraph" w:customStyle="1" w:styleId="Style9">
    <w:name w:val="Style9"/>
    <w:basedOn w:val="Normal"/>
    <w:uiPriority w:val="99"/>
    <w:rsid w:val="00441E01"/>
    <w:pPr>
      <w:spacing w:line="269" w:lineRule="exact"/>
      <w:ind w:firstLine="370"/>
    </w:pPr>
  </w:style>
  <w:style w:type="paragraph" w:customStyle="1" w:styleId="Style10">
    <w:name w:val="Style10"/>
    <w:basedOn w:val="Normal"/>
    <w:uiPriority w:val="99"/>
    <w:rsid w:val="00441E01"/>
  </w:style>
  <w:style w:type="paragraph" w:customStyle="1" w:styleId="Style11">
    <w:name w:val="Style11"/>
    <w:basedOn w:val="Normal"/>
    <w:uiPriority w:val="99"/>
    <w:rsid w:val="00441E01"/>
  </w:style>
  <w:style w:type="paragraph" w:customStyle="1" w:styleId="Style12">
    <w:name w:val="Style12"/>
    <w:basedOn w:val="Normal"/>
    <w:uiPriority w:val="99"/>
    <w:rsid w:val="00441E01"/>
  </w:style>
  <w:style w:type="character" w:customStyle="1" w:styleId="FontStyle14">
    <w:name w:val="Font Style14"/>
    <w:uiPriority w:val="99"/>
    <w:rsid w:val="00441E01"/>
    <w:rPr>
      <w:rFonts w:ascii="Arial" w:hAnsi="Arial" w:cs="Arial"/>
      <w:sz w:val="20"/>
      <w:szCs w:val="20"/>
    </w:rPr>
  </w:style>
  <w:style w:type="character" w:customStyle="1" w:styleId="FontStyle15">
    <w:name w:val="Font Style15"/>
    <w:uiPriority w:val="99"/>
    <w:rsid w:val="00441E01"/>
    <w:rPr>
      <w:rFonts w:ascii="Arial" w:hAnsi="Arial" w:cs="Arial"/>
      <w:b/>
      <w:bCs/>
      <w:sz w:val="20"/>
      <w:szCs w:val="20"/>
    </w:rPr>
  </w:style>
  <w:style w:type="character" w:customStyle="1" w:styleId="FontStyle16">
    <w:name w:val="Font Style16"/>
    <w:uiPriority w:val="99"/>
    <w:rsid w:val="00441E01"/>
    <w:rPr>
      <w:rFonts w:ascii="Arial" w:hAnsi="Arial" w:cs="Arial"/>
      <w:sz w:val="26"/>
      <w:szCs w:val="26"/>
    </w:rPr>
  </w:style>
  <w:style w:type="character" w:customStyle="1" w:styleId="FontStyle17">
    <w:name w:val="Font Style17"/>
    <w:uiPriority w:val="99"/>
    <w:rsid w:val="00441E01"/>
    <w:rPr>
      <w:rFonts w:ascii="Arial" w:hAnsi="Arial" w:cs="Arial"/>
      <w:b/>
      <w:bCs/>
      <w:sz w:val="18"/>
      <w:szCs w:val="18"/>
    </w:rPr>
  </w:style>
  <w:style w:type="character" w:customStyle="1" w:styleId="FontStyle18">
    <w:name w:val="Font Style18"/>
    <w:uiPriority w:val="99"/>
    <w:rsid w:val="00441E01"/>
    <w:rPr>
      <w:rFonts w:ascii="Arial" w:hAnsi="Arial" w:cs="Arial"/>
      <w:sz w:val="18"/>
      <w:szCs w:val="18"/>
    </w:rPr>
  </w:style>
  <w:style w:type="character" w:customStyle="1" w:styleId="FontStyle19">
    <w:name w:val="Font Style19"/>
    <w:uiPriority w:val="99"/>
    <w:rsid w:val="00441E01"/>
    <w:rPr>
      <w:rFonts w:ascii="Arial" w:hAnsi="Arial" w:cs="Arial"/>
      <w:sz w:val="16"/>
      <w:szCs w:val="16"/>
    </w:rPr>
  </w:style>
  <w:style w:type="paragraph" w:styleId="Sansinterligne">
    <w:name w:val="No Spacing"/>
    <w:link w:val="SansinterligneCar"/>
    <w:uiPriority w:val="1"/>
    <w:rsid w:val="00441E01"/>
    <w:pPr>
      <w:widowControl w:val="0"/>
      <w:autoSpaceDE w:val="0"/>
      <w:autoSpaceDN w:val="0"/>
      <w:adjustRightInd w:val="0"/>
      <w:spacing w:before="120" w:after="120"/>
      <w:jc w:val="both"/>
    </w:pPr>
    <w:rPr>
      <w:rFonts w:ascii="Times New Roman" w:eastAsia="Times New Roman" w:hAnsi="Times New Roman" w:cs="Calibri"/>
      <w:sz w:val="24"/>
      <w:szCs w:val="24"/>
    </w:rPr>
  </w:style>
  <w:style w:type="paragraph" w:styleId="En-tte">
    <w:name w:val="header"/>
    <w:basedOn w:val="Normal"/>
    <w:link w:val="En-tteCar"/>
    <w:uiPriority w:val="99"/>
    <w:unhideWhenUsed/>
    <w:rsid w:val="00441E01"/>
    <w:pPr>
      <w:tabs>
        <w:tab w:val="center" w:pos="4536"/>
        <w:tab w:val="right" w:pos="9072"/>
      </w:tabs>
    </w:pPr>
  </w:style>
  <w:style w:type="character" w:customStyle="1" w:styleId="En-tteCar">
    <w:name w:val="En-tête Car"/>
    <w:link w:val="En-tte"/>
    <w:uiPriority w:val="99"/>
    <w:rsid w:val="00441E01"/>
    <w:rPr>
      <w:rFonts w:ascii="Tahoma" w:eastAsia="Times New Roman" w:hAnsi="Tahoma" w:cs="Calibri"/>
      <w:szCs w:val="24"/>
    </w:rPr>
  </w:style>
  <w:style w:type="paragraph" w:styleId="Pieddepage">
    <w:name w:val="footer"/>
    <w:basedOn w:val="Normal"/>
    <w:link w:val="PieddepageCar"/>
    <w:uiPriority w:val="99"/>
    <w:unhideWhenUsed/>
    <w:rsid w:val="00441E01"/>
    <w:pPr>
      <w:tabs>
        <w:tab w:val="center" w:pos="4536"/>
        <w:tab w:val="right" w:pos="9072"/>
      </w:tabs>
    </w:pPr>
  </w:style>
  <w:style w:type="character" w:customStyle="1" w:styleId="PieddepageCar">
    <w:name w:val="Pied de page Car"/>
    <w:link w:val="Pieddepage"/>
    <w:uiPriority w:val="99"/>
    <w:rsid w:val="00441E01"/>
    <w:rPr>
      <w:rFonts w:ascii="Tahoma" w:eastAsia="Times New Roman" w:hAnsi="Tahoma" w:cs="Calibri"/>
      <w:szCs w:val="24"/>
    </w:rPr>
  </w:style>
  <w:style w:type="character" w:customStyle="1" w:styleId="Titre2Car">
    <w:name w:val="Titre 2 Car"/>
    <w:link w:val="Titre2"/>
    <w:rsid w:val="00441E01"/>
    <w:rPr>
      <w:rFonts w:ascii="TimesNewRomanPS-BoldMT" w:eastAsia="Times New Roman" w:hAnsi="TimesNewRomanPS-BoldMT" w:cs="Calibri"/>
      <w:b/>
      <w:bCs/>
      <w:sz w:val="19"/>
      <w:szCs w:val="19"/>
    </w:rPr>
  </w:style>
  <w:style w:type="character" w:customStyle="1" w:styleId="SansinterligneCar">
    <w:name w:val="Sans interligne Car"/>
    <w:link w:val="Sansinterligne"/>
    <w:uiPriority w:val="1"/>
    <w:rsid w:val="00441E01"/>
    <w:rPr>
      <w:rFonts w:ascii="Times New Roman" w:eastAsia="Times New Roman" w:hAnsi="Times New Roman" w:cs="Calibri"/>
      <w:sz w:val="24"/>
      <w:szCs w:val="24"/>
    </w:rPr>
  </w:style>
  <w:style w:type="paragraph" w:styleId="Paragraphedeliste">
    <w:name w:val="List Paragraph"/>
    <w:basedOn w:val="Normal"/>
    <w:uiPriority w:val="34"/>
    <w:rsid w:val="00441E01"/>
    <w:pPr>
      <w:ind w:left="708"/>
    </w:pPr>
  </w:style>
  <w:style w:type="paragraph" w:customStyle="1" w:styleId="Questions">
    <w:name w:val="Questions"/>
    <w:basedOn w:val="Normal"/>
    <w:link w:val="QuestionsCar"/>
    <w:autoRedefine/>
    <w:qFormat/>
    <w:rsid w:val="00441E01"/>
    <w:pPr>
      <w:numPr>
        <w:numId w:val="5"/>
      </w:numPr>
      <w:tabs>
        <w:tab w:val="left" w:pos="412"/>
      </w:tabs>
      <w:spacing w:before="5"/>
    </w:pPr>
    <w:rPr>
      <w:rFonts w:cs="Tahoma"/>
      <w:b/>
      <w:sz w:val="24"/>
    </w:rPr>
  </w:style>
  <w:style w:type="character" w:customStyle="1" w:styleId="QuestionsCar">
    <w:name w:val="Questions Car"/>
    <w:link w:val="Questions"/>
    <w:rsid w:val="00441E01"/>
    <w:rPr>
      <w:rFonts w:ascii="Tahoma" w:eastAsia="Times New Roman" w:hAnsi="Tahoma" w:cs="Tahoma"/>
      <w:b/>
      <w:sz w:val="24"/>
      <w:szCs w:val="24"/>
    </w:rPr>
  </w:style>
  <w:style w:type="paragraph" w:customStyle="1" w:styleId="TAF">
    <w:name w:val="TAF"/>
    <w:basedOn w:val="Sansinterligne"/>
    <w:link w:val="TAFCar"/>
    <w:qFormat/>
    <w:rsid w:val="00441E01"/>
    <w:pPr>
      <w:jc w:val="center"/>
    </w:pPr>
    <w:rPr>
      <w:rFonts w:ascii="Tahoma" w:hAnsi="Tahoma" w:cs="Tahoma"/>
      <w:b/>
      <w:sz w:val="20"/>
      <w:szCs w:val="20"/>
      <w:u w:val="single"/>
    </w:rPr>
  </w:style>
  <w:style w:type="character" w:customStyle="1" w:styleId="TAFCar">
    <w:name w:val="TAF Car"/>
    <w:link w:val="TAF"/>
    <w:rsid w:val="00441E01"/>
    <w:rPr>
      <w:rFonts w:ascii="Tahoma" w:eastAsia="Times New Roman" w:hAnsi="Tahoma" w:cs="Tahoma"/>
      <w:b/>
      <w:u w:val="single"/>
    </w:rPr>
  </w:style>
  <w:style w:type="paragraph" w:customStyle="1" w:styleId="Lettres">
    <w:name w:val="Lettres"/>
    <w:basedOn w:val="Normal"/>
    <w:link w:val="LettresCar"/>
    <w:qFormat/>
    <w:rsid w:val="00441E01"/>
    <w:pPr>
      <w:numPr>
        <w:numId w:val="1"/>
      </w:numPr>
      <w:spacing w:after="60"/>
    </w:pPr>
    <w:rPr>
      <w:b/>
      <w:sz w:val="24"/>
    </w:rPr>
  </w:style>
  <w:style w:type="character" w:customStyle="1" w:styleId="LettresCar">
    <w:name w:val="Lettres Car"/>
    <w:link w:val="Lettres"/>
    <w:rsid w:val="00441E01"/>
    <w:rPr>
      <w:rFonts w:ascii="Tahoma" w:eastAsia="Times New Roman" w:hAnsi="Tahoma" w:cs="Calibri"/>
      <w:b/>
      <w:sz w:val="24"/>
      <w:szCs w:val="24"/>
    </w:rPr>
  </w:style>
  <w:style w:type="paragraph" w:styleId="Titre">
    <w:name w:val="Title"/>
    <w:basedOn w:val="Normal"/>
    <w:next w:val="Normal"/>
    <w:link w:val="TitreCar"/>
    <w:uiPriority w:val="10"/>
    <w:qFormat/>
    <w:rsid w:val="00441E01"/>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441E01"/>
    <w:rPr>
      <w:rFonts w:ascii="Cambria" w:eastAsia="Times New Roman" w:hAnsi="Cambria" w:cs="Calibri"/>
      <w:color w:val="17365D"/>
      <w:spacing w:val="5"/>
      <w:kern w:val="28"/>
      <w:sz w:val="52"/>
      <w:szCs w:val="52"/>
    </w:rPr>
  </w:style>
  <w:style w:type="paragraph" w:styleId="Sous-titre">
    <w:name w:val="Subtitle"/>
    <w:basedOn w:val="Normal"/>
    <w:next w:val="Normal"/>
    <w:link w:val="Sous-titreCar"/>
    <w:uiPriority w:val="11"/>
    <w:rsid w:val="00441E01"/>
    <w:pPr>
      <w:spacing w:after="60"/>
      <w:jc w:val="center"/>
      <w:outlineLvl w:val="1"/>
    </w:pPr>
    <w:rPr>
      <w:rFonts w:ascii="Cambria" w:hAnsi="Cambria"/>
    </w:rPr>
  </w:style>
  <w:style w:type="character" w:customStyle="1" w:styleId="Sous-titreCar">
    <w:name w:val="Sous-titre Car"/>
    <w:link w:val="Sous-titre"/>
    <w:uiPriority w:val="11"/>
    <w:rsid w:val="00441E01"/>
    <w:rPr>
      <w:rFonts w:ascii="Cambria" w:eastAsia="Times New Roman" w:hAnsi="Cambria" w:cs="Calibri"/>
      <w:szCs w:val="24"/>
    </w:rPr>
  </w:style>
  <w:style w:type="table" w:styleId="Grilledutableau">
    <w:name w:val="Table Grid"/>
    <w:basedOn w:val="TableauNormal"/>
    <w:uiPriority w:val="59"/>
    <w:rsid w:val="00441E01"/>
    <w:rPr>
      <w:rFonts w:eastAsia="Times New Roman"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uiPriority w:val="99"/>
    <w:rsid w:val="00441E01"/>
    <w:rPr>
      <w:rFonts w:ascii="Times New Roman" w:hAnsi="Times New Roman" w:cs="Times New Roman"/>
      <w:b/>
      <w:bCs/>
      <w:sz w:val="20"/>
      <w:szCs w:val="20"/>
    </w:rPr>
  </w:style>
  <w:style w:type="paragraph" w:customStyle="1" w:styleId="Style14">
    <w:name w:val="Style14"/>
    <w:basedOn w:val="Normal"/>
    <w:link w:val="Style14Car"/>
    <w:uiPriority w:val="99"/>
    <w:rsid w:val="00441E01"/>
    <w:pPr>
      <w:spacing w:line="252" w:lineRule="exact"/>
      <w:ind w:hanging="405"/>
    </w:pPr>
  </w:style>
  <w:style w:type="character" w:customStyle="1" w:styleId="FontStyle21">
    <w:name w:val="Font Style21"/>
    <w:uiPriority w:val="99"/>
    <w:rsid w:val="00441E01"/>
    <w:rPr>
      <w:rFonts w:ascii="Book Antiqua" w:hAnsi="Book Antiqua" w:cs="Book Antiqua"/>
      <w:spacing w:val="20"/>
      <w:sz w:val="20"/>
      <w:szCs w:val="20"/>
    </w:rPr>
  </w:style>
  <w:style w:type="character" w:customStyle="1" w:styleId="FontStyle22">
    <w:name w:val="Font Style22"/>
    <w:uiPriority w:val="99"/>
    <w:rsid w:val="00441E01"/>
    <w:rPr>
      <w:rFonts w:ascii="Arial" w:hAnsi="Arial" w:cs="Arial"/>
      <w:b/>
      <w:bCs/>
      <w:spacing w:val="20"/>
      <w:sz w:val="18"/>
      <w:szCs w:val="18"/>
    </w:rPr>
  </w:style>
  <w:style w:type="character" w:customStyle="1" w:styleId="FontStyle13">
    <w:name w:val="Font Style13"/>
    <w:uiPriority w:val="99"/>
    <w:rsid w:val="00441E01"/>
    <w:rPr>
      <w:rFonts w:ascii="Arial Unicode MS" w:eastAsia="Arial Unicode MS" w:cs="Arial Unicode MS"/>
      <w:sz w:val="20"/>
      <w:szCs w:val="20"/>
    </w:rPr>
  </w:style>
  <w:style w:type="character" w:customStyle="1" w:styleId="FontStyle12">
    <w:name w:val="Font Style12"/>
    <w:uiPriority w:val="99"/>
    <w:rsid w:val="00441E01"/>
    <w:rPr>
      <w:rFonts w:ascii="Arial Unicode MS" w:eastAsia="Arial Unicode MS" w:cs="Arial Unicode MS"/>
      <w:b/>
      <w:bCs/>
      <w:sz w:val="20"/>
      <w:szCs w:val="20"/>
    </w:rPr>
  </w:style>
  <w:style w:type="character" w:customStyle="1" w:styleId="FontStyle23">
    <w:name w:val="Font Style23"/>
    <w:uiPriority w:val="99"/>
    <w:rsid w:val="00441E01"/>
    <w:rPr>
      <w:rFonts w:ascii="Times New Roman" w:hAnsi="Times New Roman" w:cs="Times New Roman"/>
      <w:sz w:val="20"/>
      <w:szCs w:val="20"/>
    </w:rPr>
  </w:style>
  <w:style w:type="character" w:customStyle="1" w:styleId="FontStyle24">
    <w:name w:val="Font Style24"/>
    <w:uiPriority w:val="99"/>
    <w:rsid w:val="00441E01"/>
    <w:rPr>
      <w:rFonts w:ascii="Tahoma" w:hAnsi="Tahoma" w:cs="Tahoma"/>
      <w:b/>
      <w:bCs/>
      <w:sz w:val="22"/>
      <w:szCs w:val="22"/>
    </w:rPr>
  </w:style>
  <w:style w:type="character" w:customStyle="1" w:styleId="FontStyle25">
    <w:name w:val="Font Style25"/>
    <w:uiPriority w:val="99"/>
    <w:rsid w:val="00441E01"/>
    <w:rPr>
      <w:rFonts w:ascii="Times New Roman" w:hAnsi="Times New Roman" w:cs="Times New Roman"/>
      <w:b/>
      <w:bCs/>
      <w:i/>
      <w:iCs/>
      <w:sz w:val="20"/>
      <w:szCs w:val="20"/>
    </w:rPr>
  </w:style>
  <w:style w:type="paragraph" w:customStyle="1" w:styleId="Style13">
    <w:name w:val="Style13"/>
    <w:basedOn w:val="Normal"/>
    <w:uiPriority w:val="99"/>
    <w:rsid w:val="00441E01"/>
  </w:style>
  <w:style w:type="character" w:customStyle="1" w:styleId="FontStyle26">
    <w:name w:val="Font Style26"/>
    <w:uiPriority w:val="99"/>
    <w:rsid w:val="00441E01"/>
    <w:rPr>
      <w:rFonts w:ascii="Times New Roman" w:hAnsi="Times New Roman" w:cs="Times New Roman"/>
      <w:i/>
      <w:iCs/>
      <w:sz w:val="20"/>
      <w:szCs w:val="20"/>
    </w:rPr>
  </w:style>
  <w:style w:type="paragraph" w:customStyle="1" w:styleId="AnneSujet">
    <w:name w:val="AnnéeSujet"/>
    <w:basedOn w:val="Titre"/>
    <w:link w:val="AnneSujetCar"/>
    <w:qFormat/>
    <w:rsid w:val="00441E01"/>
    <w:rPr>
      <w:rFonts w:ascii="Tahoma" w:hAnsi="Tahoma" w:cs="Tahoma"/>
      <w:b/>
      <w:sz w:val="36"/>
      <w:szCs w:val="36"/>
    </w:rPr>
  </w:style>
  <w:style w:type="paragraph" w:customStyle="1" w:styleId="Dossier">
    <w:name w:val="Dossier"/>
    <w:basedOn w:val="Normal"/>
    <w:autoRedefine/>
    <w:uiPriority w:val="99"/>
    <w:rsid w:val="00441E01"/>
    <w:pPr>
      <w:framePr w:wrap="around" w:vAnchor="text" w:hAnchor="text" w:y="1"/>
      <w:pBdr>
        <w:top w:val="single" w:sz="4" w:space="5" w:color="auto"/>
        <w:left w:val="single" w:sz="4" w:space="4" w:color="auto"/>
        <w:bottom w:val="single" w:sz="4" w:space="5" w:color="auto"/>
        <w:right w:val="single" w:sz="4" w:space="4" w:color="auto"/>
      </w:pBdr>
      <w:shd w:val="pct25" w:color="auto" w:fill="auto"/>
      <w:spacing w:line="273" w:lineRule="exact"/>
      <w:jc w:val="center"/>
    </w:pPr>
    <w:rPr>
      <w:sz w:val="22"/>
    </w:rPr>
  </w:style>
  <w:style w:type="character" w:customStyle="1" w:styleId="AnneSujetCar">
    <w:name w:val="AnnéeSujet Car"/>
    <w:link w:val="AnneSujet"/>
    <w:rsid w:val="00441E01"/>
    <w:rPr>
      <w:rFonts w:ascii="Tahoma" w:eastAsia="Times New Roman" w:hAnsi="Tahoma" w:cs="Tahoma"/>
      <w:b/>
      <w:color w:val="17365D"/>
      <w:spacing w:val="5"/>
      <w:kern w:val="28"/>
      <w:sz w:val="36"/>
      <w:szCs w:val="36"/>
    </w:rPr>
  </w:style>
  <w:style w:type="paragraph" w:customStyle="1" w:styleId="Style15">
    <w:name w:val="Style15"/>
    <w:basedOn w:val="Normal"/>
    <w:uiPriority w:val="99"/>
    <w:rsid w:val="00441E01"/>
  </w:style>
  <w:style w:type="paragraph" w:customStyle="1" w:styleId="Style16">
    <w:name w:val="Style16"/>
    <w:basedOn w:val="Normal"/>
    <w:uiPriority w:val="99"/>
    <w:rsid w:val="00441E01"/>
    <w:pPr>
      <w:spacing w:line="273" w:lineRule="exact"/>
      <w:ind w:hanging="412"/>
    </w:pPr>
  </w:style>
  <w:style w:type="paragraph" w:customStyle="1" w:styleId="Style17">
    <w:name w:val="Style17"/>
    <w:basedOn w:val="Normal"/>
    <w:uiPriority w:val="99"/>
    <w:rsid w:val="00441E01"/>
    <w:pPr>
      <w:spacing w:line="280" w:lineRule="exact"/>
      <w:jc w:val="center"/>
    </w:pPr>
  </w:style>
  <w:style w:type="character" w:customStyle="1" w:styleId="FontStyle27">
    <w:name w:val="Font Style27"/>
    <w:uiPriority w:val="99"/>
    <w:rsid w:val="00441E01"/>
    <w:rPr>
      <w:rFonts w:ascii="Arial" w:hAnsi="Arial" w:cs="Arial"/>
      <w:b/>
      <w:bCs/>
      <w:sz w:val="20"/>
      <w:szCs w:val="20"/>
    </w:rPr>
  </w:style>
  <w:style w:type="paragraph" w:customStyle="1" w:styleId="Style18">
    <w:name w:val="Style18"/>
    <w:basedOn w:val="Normal"/>
    <w:uiPriority w:val="99"/>
    <w:rsid w:val="00441E01"/>
  </w:style>
  <w:style w:type="character" w:customStyle="1" w:styleId="FontStyle29">
    <w:name w:val="Font Style29"/>
    <w:uiPriority w:val="99"/>
    <w:rsid w:val="00441E01"/>
    <w:rPr>
      <w:rFonts w:ascii="Times New Roman" w:hAnsi="Times New Roman" w:cs="Times New Roman"/>
      <w:b/>
      <w:bCs/>
      <w:sz w:val="22"/>
      <w:szCs w:val="22"/>
    </w:rPr>
  </w:style>
  <w:style w:type="paragraph" w:customStyle="1" w:styleId="Question">
    <w:name w:val="Question"/>
    <w:basedOn w:val="Style14"/>
    <w:link w:val="QuestionCar1"/>
    <w:rsid w:val="00441E01"/>
    <w:pPr>
      <w:tabs>
        <w:tab w:val="left" w:pos="412"/>
      </w:tabs>
      <w:spacing w:before="5" w:line="240" w:lineRule="auto"/>
      <w:ind w:left="714" w:hanging="357"/>
    </w:pPr>
    <w:rPr>
      <w:rFonts w:cs="Tahoma"/>
    </w:rPr>
  </w:style>
  <w:style w:type="character" w:customStyle="1" w:styleId="Style14Car">
    <w:name w:val="Style14 Car"/>
    <w:link w:val="Style14"/>
    <w:uiPriority w:val="99"/>
    <w:rsid w:val="00441E01"/>
    <w:rPr>
      <w:rFonts w:ascii="Tahoma" w:eastAsia="Times New Roman" w:hAnsi="Tahoma" w:cs="Calibri"/>
      <w:szCs w:val="24"/>
    </w:rPr>
  </w:style>
  <w:style w:type="character" w:customStyle="1" w:styleId="QuestionCar">
    <w:name w:val="Question Car"/>
    <w:rsid w:val="00441E01"/>
    <w:rPr>
      <w:rFonts w:ascii="Times New Roman" w:eastAsia="Times New Roman" w:hAnsi="Times New Roman"/>
      <w:sz w:val="24"/>
      <w:szCs w:val="24"/>
    </w:rPr>
  </w:style>
  <w:style w:type="character" w:customStyle="1" w:styleId="QuestionCar1">
    <w:name w:val="Question Car1"/>
    <w:link w:val="Question"/>
    <w:rsid w:val="00441E01"/>
    <w:rPr>
      <w:rFonts w:ascii="Tahoma" w:eastAsia="Times New Roman" w:hAnsi="Tahoma" w:cs="Tahoma"/>
      <w:szCs w:val="24"/>
    </w:rPr>
  </w:style>
  <w:style w:type="paragraph" w:customStyle="1" w:styleId="Partie">
    <w:name w:val="Partie"/>
    <w:basedOn w:val="Normal"/>
    <w:link w:val="PartieCar"/>
    <w:qFormat/>
    <w:rsid w:val="00441E01"/>
    <w:rPr>
      <w:rFonts w:cs="Tahoma"/>
      <w:b/>
      <w:sz w:val="24"/>
      <w:u w:val="single"/>
    </w:rPr>
  </w:style>
  <w:style w:type="character" w:customStyle="1" w:styleId="PartieCar">
    <w:name w:val="Partie Car"/>
    <w:link w:val="Partie"/>
    <w:rsid w:val="00441E01"/>
    <w:rPr>
      <w:rFonts w:ascii="Tahoma" w:eastAsia="Times New Roman" w:hAnsi="Tahoma" w:cs="Tahoma"/>
      <w:b/>
      <w:sz w:val="24"/>
      <w:szCs w:val="24"/>
      <w:u w:val="single"/>
    </w:rPr>
  </w:style>
  <w:style w:type="paragraph" w:customStyle="1" w:styleId="CM7">
    <w:name w:val="CM7"/>
    <w:basedOn w:val="Normal"/>
    <w:next w:val="Normal"/>
    <w:uiPriority w:val="99"/>
    <w:rsid w:val="00115F59"/>
    <w:pPr>
      <w:jc w:val="left"/>
    </w:pPr>
    <w:rPr>
      <w:rFonts w:ascii="Arial" w:hAnsi="Arial" w:cs="Arial"/>
      <w:sz w:val="24"/>
    </w:rPr>
  </w:style>
  <w:style w:type="paragraph" w:customStyle="1" w:styleId="QuestionsMana">
    <w:name w:val="QuestionsMana"/>
    <w:basedOn w:val="Normal"/>
    <w:link w:val="QuestionsManaCar"/>
    <w:qFormat/>
    <w:rsid w:val="00441E01"/>
    <w:pPr>
      <w:numPr>
        <w:numId w:val="3"/>
      </w:numPr>
      <w:spacing w:after="202" w:line="276" w:lineRule="auto"/>
    </w:pPr>
    <w:rPr>
      <w:rFonts w:cs="Tahoma"/>
      <w:color w:val="000000"/>
      <w:szCs w:val="20"/>
    </w:rPr>
  </w:style>
  <w:style w:type="character" w:customStyle="1" w:styleId="QuestionsManaCar">
    <w:name w:val="QuestionsMana Car"/>
    <w:link w:val="QuestionsMana"/>
    <w:locked/>
    <w:rsid w:val="00441E01"/>
    <w:rPr>
      <w:rFonts w:ascii="Tahoma" w:eastAsia="Times New Roman" w:hAnsi="Tahoma" w:cs="Tahoma"/>
      <w:color w:val="000000"/>
    </w:rPr>
  </w:style>
  <w:style w:type="paragraph" w:customStyle="1" w:styleId="AnnexeMana">
    <w:name w:val="AnnexeMana"/>
    <w:basedOn w:val="Normal"/>
    <w:link w:val="AnnexeManaCar"/>
    <w:qFormat/>
    <w:rsid w:val="00441E01"/>
    <w:pPr>
      <w:spacing w:line="276" w:lineRule="auto"/>
    </w:pPr>
    <w:rPr>
      <w:rFonts w:cs="Tahoma"/>
      <w:b/>
      <w:bCs/>
      <w:color w:val="000000"/>
      <w:sz w:val="22"/>
      <w:szCs w:val="20"/>
      <w:u w:val="single"/>
    </w:rPr>
  </w:style>
  <w:style w:type="character" w:customStyle="1" w:styleId="AnnexeManaCar">
    <w:name w:val="AnnexeMana Car"/>
    <w:link w:val="AnnexeMana"/>
    <w:locked/>
    <w:rsid w:val="00441E01"/>
    <w:rPr>
      <w:rFonts w:ascii="Tahoma" w:eastAsia="Times New Roman" w:hAnsi="Tahoma" w:cs="Tahoma"/>
      <w:b/>
      <w:bCs/>
      <w:color w:val="000000"/>
      <w:sz w:val="22"/>
      <w:u w:val="single"/>
    </w:rPr>
  </w:style>
  <w:style w:type="paragraph" w:styleId="Notedebasdepage">
    <w:name w:val="footnote text"/>
    <w:basedOn w:val="Normal"/>
    <w:link w:val="NotedebasdepageCar"/>
    <w:uiPriority w:val="99"/>
    <w:semiHidden/>
    <w:unhideWhenUsed/>
    <w:rsid w:val="00571C5F"/>
    <w:rPr>
      <w:szCs w:val="20"/>
    </w:rPr>
  </w:style>
  <w:style w:type="character" w:customStyle="1" w:styleId="NotedebasdepageCar">
    <w:name w:val="Note de bas de page Car"/>
    <w:link w:val="Notedebasdepage"/>
    <w:uiPriority w:val="99"/>
    <w:semiHidden/>
    <w:rsid w:val="00571C5F"/>
    <w:rPr>
      <w:rFonts w:ascii="Tahoma" w:eastAsia="Times New Roman" w:hAnsi="Tahoma" w:cs="Calibri"/>
    </w:rPr>
  </w:style>
  <w:style w:type="character" w:styleId="Appelnotedebasdep">
    <w:name w:val="footnote reference"/>
    <w:uiPriority w:val="99"/>
    <w:semiHidden/>
    <w:unhideWhenUsed/>
    <w:rsid w:val="00571C5F"/>
    <w:rPr>
      <w:vertAlign w:val="superscript"/>
    </w:rPr>
  </w:style>
  <w:style w:type="paragraph" w:customStyle="1" w:styleId="Default">
    <w:name w:val="Default"/>
    <w:rsid w:val="000E6C2A"/>
    <w:pPr>
      <w:autoSpaceDE w:val="0"/>
      <w:autoSpaceDN w:val="0"/>
      <w:adjustRightInd w:val="0"/>
    </w:pPr>
    <w:rPr>
      <w:rFonts w:ascii="Arial" w:hAnsi="Arial" w:cs="Arial"/>
      <w:color w:val="000000"/>
      <w:sz w:val="24"/>
      <w:szCs w:val="24"/>
    </w:rPr>
  </w:style>
  <w:style w:type="character" w:customStyle="1" w:styleId="Titre1Car">
    <w:name w:val="Titre 1 Car"/>
    <w:link w:val="Titre1"/>
    <w:uiPriority w:val="9"/>
    <w:rsid w:val="00C26416"/>
    <w:rPr>
      <w:rFonts w:ascii="Calibri Light" w:eastAsia="Times New Roman" w:hAnsi="Calibri Light" w:cs="Times New Roman"/>
      <w:b/>
      <w:bCs/>
      <w:kern w:val="32"/>
      <w:sz w:val="32"/>
      <w:szCs w:val="32"/>
    </w:rPr>
  </w:style>
  <w:style w:type="character" w:customStyle="1" w:styleId="Titre3Car">
    <w:name w:val="Titre 3 Car"/>
    <w:link w:val="Titre3"/>
    <w:uiPriority w:val="9"/>
    <w:rsid w:val="005B7300"/>
    <w:rPr>
      <w:rFonts w:ascii="Tahoma" w:hAnsi="Tahoma" w:cs="Tahoma"/>
      <w:b/>
      <w:bCs/>
    </w:rPr>
  </w:style>
  <w:style w:type="character" w:customStyle="1" w:styleId="Titre4Car">
    <w:name w:val="Titre 4 Car"/>
    <w:link w:val="Titre4"/>
    <w:uiPriority w:val="9"/>
    <w:rsid w:val="00797E8E"/>
    <w:rPr>
      <w:rFonts w:ascii="Tahoma" w:hAnsi="Tahoma" w:cs="Tahoma"/>
      <w:b/>
      <w:bCs/>
      <w:i/>
    </w:rPr>
  </w:style>
  <w:style w:type="character" w:styleId="Lienhypertexte">
    <w:name w:val="Hyperlink"/>
    <w:uiPriority w:val="99"/>
    <w:unhideWhenUsed/>
    <w:rsid w:val="00FD7D54"/>
    <w:rPr>
      <w:color w:val="0563C1"/>
      <w:u w:val="single"/>
    </w:rPr>
  </w:style>
  <w:style w:type="paragraph" w:styleId="Corpsdetexte">
    <w:name w:val="Body Text"/>
    <w:basedOn w:val="Normal"/>
    <w:link w:val="CorpsdetexteCar"/>
    <w:uiPriority w:val="99"/>
    <w:unhideWhenUsed/>
    <w:rsid w:val="00A87410"/>
    <w:rPr>
      <w:rFonts w:eastAsia="Calibri"/>
      <w:b/>
      <w:bCs/>
    </w:rPr>
  </w:style>
  <w:style w:type="character" w:customStyle="1" w:styleId="CorpsdetexteCar">
    <w:name w:val="Corps de texte Car"/>
    <w:link w:val="Corpsdetexte"/>
    <w:uiPriority w:val="99"/>
    <w:rsid w:val="00A87410"/>
    <w:rPr>
      <w:rFonts w:ascii="Tahoma" w:hAnsi="Tahoma" w:cs="Calibri"/>
      <w:b/>
      <w:bCs/>
      <w:szCs w:val="24"/>
    </w:rPr>
  </w:style>
  <w:style w:type="paragraph" w:styleId="Corpsdetexte2">
    <w:name w:val="Body Text 2"/>
    <w:basedOn w:val="Normal"/>
    <w:link w:val="Corpsdetexte2Car"/>
    <w:uiPriority w:val="99"/>
    <w:unhideWhenUsed/>
    <w:rsid w:val="00F14424"/>
    <w:rPr>
      <w:rFonts w:eastAsia="Calibri"/>
      <w:b/>
      <w:i/>
    </w:rPr>
  </w:style>
  <w:style w:type="character" w:customStyle="1" w:styleId="Corpsdetexte2Car">
    <w:name w:val="Corps de texte 2 Car"/>
    <w:link w:val="Corpsdetexte2"/>
    <w:uiPriority w:val="99"/>
    <w:rsid w:val="00F14424"/>
    <w:rPr>
      <w:rFonts w:ascii="Tahoma" w:hAnsi="Tahoma" w:cs="Calibri"/>
      <w:b/>
      <w:i/>
      <w:szCs w:val="24"/>
    </w:rPr>
  </w:style>
  <w:style w:type="table" w:customStyle="1" w:styleId="TableNormal">
    <w:name w:val="Table Normal"/>
    <w:uiPriority w:val="2"/>
    <w:semiHidden/>
    <w:unhideWhenUsed/>
    <w:qFormat/>
    <w:rsid w:val="00687087"/>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87087"/>
    <w:pPr>
      <w:jc w:val="left"/>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TTE\AppData\Roaming\Microsoft\Templates\ModeleOral.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Feuil1!$B$1</c:f>
              <c:strCache>
                <c:ptCount val="1"/>
                <c:pt idx="0">
                  <c:v>Colonne1</c:v>
                </c:pt>
              </c:strCache>
            </c:strRef>
          </c:tx>
          <c:spPr>
            <a:solidFill>
              <a:srgbClr val="95C048"/>
            </a:solidFill>
            <a:ln w="25378">
              <a:noFill/>
            </a:ln>
          </c:spPr>
          <c:invertIfNegative val="0"/>
          <c:dLbls>
            <c:spPr>
              <a:noFill/>
              <a:ln w="25378">
                <a:noFill/>
              </a:ln>
            </c:spPr>
            <c:txPr>
              <a:bodyPr rot="0" spcFirstLastPara="1" vertOverflow="ellipsis" vert="horz" wrap="square" lIns="38100" tIns="19050" rIns="38100" bIns="19050" anchor="ctr" anchorCtr="1">
                <a:spAutoFit/>
              </a:bodyPr>
              <a:lstStyle/>
              <a:p>
                <a:pPr>
                  <a:defRPr sz="899" b="1" i="0" u="none" strike="noStrike" kern="1200" baseline="0">
                    <a:solidFill>
                      <a:schemeClr val="tx1">
                        <a:lumMod val="75000"/>
                        <a:lumOff val="25000"/>
                      </a:schemeClr>
                    </a:solidFill>
                    <a:latin typeface="+mn-lt"/>
                    <a:ea typeface="+mn-ea"/>
                    <a:cs typeface="+mn-cs"/>
                  </a:defRPr>
                </a:pPr>
                <a:endParaRPr lang="fr-F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Feuil1!$A$2:$A$15</c:f>
              <c:numCache>
                <c:formatCode>General</c:formatCode>
                <c:ptCount val="14"/>
                <c:pt idx="0">
                  <c:v>2002</c:v>
                </c:pt>
                <c:pt idx="1">
                  <c:v>2003</c:v>
                </c:pt>
                <c:pt idx="2">
                  <c:v>2004</c:v>
                </c:pt>
                <c:pt idx="3">
                  <c:v>2005</c:v>
                </c:pt>
                <c:pt idx="4">
                  <c:v>2006</c:v>
                </c:pt>
                <c:pt idx="5">
                  <c:v>2007</c:v>
                </c:pt>
                <c:pt idx="6">
                  <c:v>2008</c:v>
                </c:pt>
                <c:pt idx="7">
                  <c:v>2009</c:v>
                </c:pt>
                <c:pt idx="8">
                  <c:v>2010</c:v>
                </c:pt>
                <c:pt idx="9">
                  <c:v>2011</c:v>
                </c:pt>
                <c:pt idx="10">
                  <c:v>2012</c:v>
                </c:pt>
                <c:pt idx="11">
                  <c:v>2013</c:v>
                </c:pt>
                <c:pt idx="12">
                  <c:v>2014</c:v>
                </c:pt>
                <c:pt idx="13">
                  <c:v>2015</c:v>
                </c:pt>
              </c:numCache>
            </c:numRef>
          </c:cat>
          <c:val>
            <c:numRef>
              <c:f>Feuil1!$B$2:$B$15</c:f>
              <c:numCache>
                <c:formatCode>General</c:formatCode>
                <c:ptCount val="14"/>
                <c:pt idx="0">
                  <c:v>-3.1</c:v>
                </c:pt>
                <c:pt idx="1">
                  <c:v>-4.0999999999999996</c:v>
                </c:pt>
                <c:pt idx="2">
                  <c:v>-3.6</c:v>
                </c:pt>
                <c:pt idx="3">
                  <c:v>-2.9</c:v>
                </c:pt>
                <c:pt idx="4">
                  <c:v>-2.2999999999999998</c:v>
                </c:pt>
                <c:pt idx="5">
                  <c:v>-2.7</c:v>
                </c:pt>
                <c:pt idx="6">
                  <c:v>-3.3</c:v>
                </c:pt>
                <c:pt idx="7">
                  <c:v>-7.5</c:v>
                </c:pt>
                <c:pt idx="8">
                  <c:v>-7.1</c:v>
                </c:pt>
                <c:pt idx="9">
                  <c:v>-5.2</c:v>
                </c:pt>
                <c:pt idx="10">
                  <c:v>-4.8</c:v>
                </c:pt>
                <c:pt idx="11">
                  <c:v>-4.0999999999999996</c:v>
                </c:pt>
                <c:pt idx="12">
                  <c:v>-4</c:v>
                </c:pt>
                <c:pt idx="13">
                  <c:v>-3.5</c:v>
                </c:pt>
              </c:numCache>
            </c:numRef>
          </c:val>
          <c:extLst>
            <c:ext xmlns:c16="http://schemas.microsoft.com/office/drawing/2014/chart" uri="{C3380CC4-5D6E-409C-BE32-E72D297353CC}">
              <c16:uniqueId val="{00000000-3430-47FD-89AF-CA15E67A033D}"/>
            </c:ext>
          </c:extLst>
        </c:ser>
        <c:dLbls>
          <c:showLegendKey val="0"/>
          <c:showVal val="0"/>
          <c:showCatName val="0"/>
          <c:showSerName val="0"/>
          <c:showPercent val="0"/>
          <c:showBubbleSize val="0"/>
        </c:dLbls>
        <c:gapWidth val="100"/>
        <c:overlap val="-27"/>
        <c:axId val="140054176"/>
        <c:axId val="1"/>
      </c:barChart>
      <c:catAx>
        <c:axId val="140054176"/>
        <c:scaling>
          <c:orientation val="minMax"/>
        </c:scaling>
        <c:delete val="0"/>
        <c:axPos val="b"/>
        <c:numFmt formatCode="General" sourceLinked="1"/>
        <c:majorTickMark val="none"/>
        <c:minorTickMark val="none"/>
        <c:tickLblPos val="high"/>
        <c:spPr>
          <a:noFill/>
          <a:ln w="9517" cap="flat" cmpd="sng" algn="ctr">
            <a:solidFill>
              <a:schemeClr val="tx1">
                <a:lumMod val="15000"/>
                <a:lumOff val="85000"/>
              </a:schemeClr>
            </a:solidFill>
            <a:round/>
          </a:ln>
          <a:effectLst/>
        </c:spPr>
        <c:txPr>
          <a:bodyPr rot="-60000000" spcFirstLastPara="1" vertOverflow="ellipsis" vert="horz" wrap="square" anchor="t" anchorCtr="0"/>
          <a:lstStyle/>
          <a:p>
            <a:pPr>
              <a:defRPr sz="899" b="1" i="0" u="none" strike="noStrike" kern="1200" baseline="0">
                <a:solidFill>
                  <a:schemeClr val="tx1">
                    <a:lumMod val="65000"/>
                    <a:lumOff val="35000"/>
                  </a:schemeClr>
                </a:solidFill>
                <a:latin typeface="+mn-lt"/>
                <a:ea typeface="+mn-ea"/>
                <a:cs typeface="+mn-cs"/>
              </a:defRPr>
            </a:pPr>
            <a:endParaRPr lang="fr-FR"/>
          </a:p>
        </c:txPr>
        <c:crossAx val="1"/>
        <c:crosses val="autoZero"/>
        <c:auto val="1"/>
        <c:lblAlgn val="ctr"/>
        <c:lblOffset val="100"/>
        <c:noMultiLvlLbl val="0"/>
      </c:catAx>
      <c:valAx>
        <c:axId val="1"/>
        <c:scaling>
          <c:orientation val="minMax"/>
        </c:scaling>
        <c:delete val="0"/>
        <c:axPos val="l"/>
        <c:majorGridlines>
          <c:spPr>
            <a:ln w="9517" cap="flat" cmpd="sng" algn="ctr">
              <a:solidFill>
                <a:schemeClr val="tx1">
                  <a:lumMod val="15000"/>
                  <a:lumOff val="85000"/>
                </a:schemeClr>
              </a:solidFill>
              <a:round/>
            </a:ln>
            <a:effectLst/>
          </c:spPr>
        </c:majorGridlines>
        <c:numFmt formatCode="General" sourceLinked="1"/>
        <c:majorTickMark val="none"/>
        <c:minorTickMark val="none"/>
        <c:tickLblPos val="nextTo"/>
        <c:spPr>
          <a:ln w="6344">
            <a:noFill/>
          </a:ln>
        </c:spPr>
        <c:txPr>
          <a:bodyPr rot="-60000000" spcFirstLastPara="1" vertOverflow="ellipsis" vert="horz" wrap="square" anchor="ctr" anchorCtr="1"/>
          <a:lstStyle/>
          <a:p>
            <a:pPr>
              <a:defRPr sz="899" b="1" i="0" u="none" strike="noStrike" kern="1200" baseline="0">
                <a:solidFill>
                  <a:schemeClr val="tx1">
                    <a:lumMod val="65000"/>
                    <a:lumOff val="35000"/>
                  </a:schemeClr>
                </a:solidFill>
                <a:latin typeface="+mn-lt"/>
                <a:ea typeface="+mn-ea"/>
                <a:cs typeface="+mn-cs"/>
              </a:defRPr>
            </a:pPr>
            <a:endParaRPr lang="fr-FR"/>
          </a:p>
        </c:txPr>
        <c:crossAx val="140054176"/>
        <c:crosses val="autoZero"/>
        <c:crossBetween val="between"/>
      </c:valAx>
      <c:spPr>
        <a:noFill/>
        <a:ln w="25378">
          <a:noFill/>
        </a:ln>
      </c:spPr>
    </c:plotArea>
    <c:plotVisOnly val="1"/>
    <c:dispBlanksAs val="gap"/>
    <c:showDLblsOverMax val="0"/>
  </c:chart>
  <c:spPr>
    <a:solidFill>
      <a:schemeClr val="bg1"/>
    </a:solidFill>
    <a:ln w="9517"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1C250-A8EB-4CDF-97E4-74AC28D97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ModeleOral.dotx</Template>
  <TotalTime>30</TotalTime>
  <Pages>3</Pages>
  <Words>786</Words>
  <Characters>4324</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5100</CharactersWithSpaces>
  <SharedDoc>false</SharedDoc>
  <HLinks>
    <vt:vector size="6" baseType="variant">
      <vt:variant>
        <vt:i4>4128813</vt:i4>
      </vt:variant>
      <vt:variant>
        <vt:i4>-1</vt:i4>
      </vt:variant>
      <vt:variant>
        <vt:i4>1035</vt:i4>
      </vt:variant>
      <vt:variant>
        <vt:i4>1</vt:i4>
      </vt:variant>
      <vt:variant>
        <vt:lpwstr>http://www.favi.com/wp-content/themes/favi/images/logo.png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www.stmg.education;http://www.stgcfe.fr</dc:creator>
  <cp:keywords/>
  <dc:description/>
  <cp:lastModifiedBy>www.stgcfe.fr - www.stmg.education</cp:lastModifiedBy>
  <cp:revision>4</cp:revision>
  <dcterms:created xsi:type="dcterms:W3CDTF">2018-06-10T16:38:00Z</dcterms:created>
  <dcterms:modified xsi:type="dcterms:W3CDTF">2018-06-10T17:09:00Z</dcterms:modified>
</cp:coreProperties>
</file>