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5F59" w:rsidRDefault="00115F59" w:rsidP="00115F59">
      <w:pPr>
        <w:pStyle w:val="Titre"/>
        <w:rPr>
          <w:rFonts w:ascii="Tahoma" w:hAnsi="Tahoma" w:cs="Tahoma"/>
          <w:b/>
          <w:sz w:val="36"/>
          <w:szCs w:val="36"/>
        </w:rPr>
      </w:pPr>
    </w:p>
    <w:p w:rsidR="00115F59" w:rsidRPr="00000C34" w:rsidRDefault="00115F59" w:rsidP="009D2F18">
      <w:pPr>
        <w:pStyle w:val="Titre"/>
        <w:jc w:val="left"/>
        <w:rPr>
          <w:rFonts w:ascii="Tahoma" w:hAnsi="Tahoma" w:cs="Tahoma"/>
          <w:b/>
          <w:sz w:val="30"/>
          <w:szCs w:val="30"/>
        </w:rPr>
      </w:pPr>
      <w:r w:rsidRPr="00000C34">
        <w:rPr>
          <w:rFonts w:ascii="Tahoma" w:hAnsi="Tahoma" w:cs="Tahoma"/>
          <w:b/>
          <w:sz w:val="30"/>
          <w:szCs w:val="30"/>
        </w:rPr>
        <w:t>201</w:t>
      </w:r>
      <w:r w:rsidR="00DD644A">
        <w:rPr>
          <w:rFonts w:ascii="Tahoma" w:hAnsi="Tahoma" w:cs="Tahoma"/>
          <w:b/>
          <w:sz w:val="30"/>
          <w:szCs w:val="30"/>
        </w:rPr>
        <w:t>7</w:t>
      </w:r>
      <w:r w:rsidRPr="00000C34">
        <w:rPr>
          <w:rFonts w:ascii="Tahoma" w:hAnsi="Tahoma" w:cs="Tahoma"/>
          <w:b/>
          <w:sz w:val="30"/>
          <w:szCs w:val="30"/>
        </w:rPr>
        <w:t xml:space="preserve"> – SUJET </w:t>
      </w:r>
      <w:r w:rsidR="005A34B4" w:rsidRPr="00000C34">
        <w:rPr>
          <w:rFonts w:ascii="Tahoma" w:hAnsi="Tahoma" w:cs="Tahoma"/>
          <w:b/>
          <w:sz w:val="30"/>
          <w:szCs w:val="30"/>
        </w:rPr>
        <w:t>D’ÉCO/</w:t>
      </w:r>
      <w:r w:rsidR="00923F61" w:rsidRPr="00000C34">
        <w:rPr>
          <w:rFonts w:ascii="Tahoma" w:hAnsi="Tahoma" w:cs="Tahoma"/>
          <w:b/>
          <w:sz w:val="30"/>
          <w:szCs w:val="30"/>
        </w:rPr>
        <w:t>DROIT</w:t>
      </w:r>
      <w:r w:rsidR="00A20E4D" w:rsidRPr="00000C34">
        <w:rPr>
          <w:rFonts w:ascii="Tahoma" w:hAnsi="Tahoma" w:cs="Tahoma"/>
          <w:b/>
          <w:sz w:val="30"/>
          <w:szCs w:val="30"/>
        </w:rPr>
        <w:t xml:space="preserve"> </w:t>
      </w:r>
      <w:r w:rsidR="00011855">
        <w:rPr>
          <w:rFonts w:ascii="Tahoma" w:hAnsi="Tahoma" w:cs="Tahoma"/>
          <w:b/>
          <w:sz w:val="30"/>
          <w:szCs w:val="30"/>
        </w:rPr>
        <w:t>Métropole</w:t>
      </w:r>
      <w:r w:rsidR="00923F61" w:rsidRPr="00000C34">
        <w:rPr>
          <w:rFonts w:ascii="Tahoma" w:hAnsi="Tahoma" w:cs="Tahoma"/>
          <w:b/>
          <w:sz w:val="30"/>
          <w:szCs w:val="30"/>
        </w:rPr>
        <w:t xml:space="preserve"> </w:t>
      </w:r>
      <w:r w:rsidR="00A20E4D" w:rsidRPr="00000C34">
        <w:rPr>
          <w:rFonts w:ascii="Tahoma" w:hAnsi="Tahoma" w:cs="Tahoma"/>
          <w:b/>
          <w:sz w:val="30"/>
          <w:szCs w:val="30"/>
        </w:rPr>
        <w:t xml:space="preserve">– Partie </w:t>
      </w:r>
      <w:r w:rsidR="009D2F18" w:rsidRPr="00000C34">
        <w:rPr>
          <w:rFonts w:ascii="Tahoma" w:hAnsi="Tahoma" w:cs="Tahoma"/>
          <w:b/>
          <w:sz w:val="30"/>
          <w:szCs w:val="30"/>
        </w:rPr>
        <w:t>Économie</w:t>
      </w:r>
    </w:p>
    <w:p w:rsidR="002F0931" w:rsidRDefault="002F0931" w:rsidP="002F0931">
      <w:pPr>
        <w:rPr>
          <w:rStyle w:val="FontStyle15"/>
          <w:rFonts w:ascii="Tahoma" w:hAnsi="Tahoma" w:cs="Tahoma"/>
          <w:b w:val="0"/>
          <w:bCs w:val="0"/>
        </w:rPr>
      </w:pPr>
    </w:p>
    <w:p w:rsidR="002F0931" w:rsidRDefault="002F0931" w:rsidP="002F0931">
      <w:pPr>
        <w:rPr>
          <w:rStyle w:val="FontStyle15"/>
          <w:rFonts w:ascii="Tahoma" w:hAnsi="Tahoma" w:cs="Tahoma"/>
          <w:b w:val="0"/>
          <w:bCs w:val="0"/>
        </w:rPr>
      </w:pPr>
    </w:p>
    <w:p w:rsidR="00F61588" w:rsidRPr="009D2F18" w:rsidRDefault="00F61588" w:rsidP="00F61588">
      <w:pPr>
        <w:rPr>
          <w:rStyle w:val="FontStyle15"/>
          <w:rFonts w:ascii="Tahoma" w:hAnsi="Tahoma" w:cs="Tahoma"/>
          <w:bCs w:val="0"/>
        </w:rPr>
      </w:pPr>
      <w:r w:rsidRPr="009D2F18">
        <w:rPr>
          <w:rStyle w:val="FontStyle15"/>
          <w:rFonts w:ascii="Tahoma" w:hAnsi="Tahoma" w:cs="Tahoma"/>
          <w:bCs w:val="0"/>
        </w:rPr>
        <w:t xml:space="preserve">À </w:t>
      </w:r>
      <w:r w:rsidR="009D2F18" w:rsidRPr="009D2F18">
        <w:rPr>
          <w:rStyle w:val="FontStyle15"/>
          <w:rFonts w:ascii="Tahoma" w:hAnsi="Tahoma" w:cs="Tahoma"/>
          <w:bCs w:val="0"/>
        </w:rPr>
        <w:t>partir</w:t>
      </w:r>
      <w:r w:rsidRPr="009D2F18">
        <w:rPr>
          <w:rStyle w:val="FontStyle15"/>
          <w:rFonts w:ascii="Tahoma" w:hAnsi="Tahoma" w:cs="Tahoma"/>
          <w:bCs w:val="0"/>
        </w:rPr>
        <w:t xml:space="preserve"> de vos connaissances et </w:t>
      </w:r>
      <w:r w:rsidR="009D2F18" w:rsidRPr="009D2F18">
        <w:rPr>
          <w:rStyle w:val="FontStyle15"/>
          <w:rFonts w:ascii="Tahoma" w:hAnsi="Tahoma" w:cs="Tahoma"/>
          <w:bCs w:val="0"/>
        </w:rPr>
        <w:t>de la documentation fournie en annexe :</w:t>
      </w:r>
    </w:p>
    <w:p w:rsidR="00F61588" w:rsidRPr="00F61588" w:rsidRDefault="00F61588" w:rsidP="00F61588">
      <w:pPr>
        <w:rPr>
          <w:rStyle w:val="FontStyle15"/>
          <w:rFonts w:ascii="Tahoma" w:hAnsi="Tahoma" w:cs="Tahoma"/>
          <w:b w:val="0"/>
          <w:bCs w:val="0"/>
        </w:rPr>
      </w:pPr>
    </w:p>
    <w:p w:rsidR="00115F59" w:rsidRDefault="00115F59" w:rsidP="00A77838">
      <w:pPr>
        <w:pStyle w:val="Sansinterligne"/>
        <w:spacing w:line="276" w:lineRule="auto"/>
        <w:ind w:left="1276" w:hanging="1276"/>
        <w:rPr>
          <w:rStyle w:val="FontStyle15"/>
          <w:rFonts w:ascii="Tahoma" w:hAnsi="Tahoma" w:cs="Tahoma"/>
          <w:bCs w:val="0"/>
        </w:rPr>
      </w:pPr>
    </w:p>
    <w:p w:rsidR="00011855" w:rsidRPr="00011855" w:rsidRDefault="00011855" w:rsidP="00011855">
      <w:pPr>
        <w:ind w:left="567" w:hanging="283"/>
        <w:rPr>
          <w:rFonts w:cs="Tahoma"/>
          <w:b/>
          <w:szCs w:val="20"/>
        </w:rPr>
      </w:pPr>
      <w:r w:rsidRPr="00011855">
        <w:rPr>
          <w:rFonts w:cs="Tahoma"/>
          <w:b/>
          <w:szCs w:val="20"/>
        </w:rPr>
        <w:t>1.</w:t>
      </w:r>
      <w:r w:rsidRPr="00011855">
        <w:rPr>
          <w:rFonts w:cs="Tahoma"/>
          <w:b/>
          <w:szCs w:val="20"/>
        </w:rPr>
        <w:tab/>
        <w:t>Distinguez les notions de croissance économique et de développement durable.</w:t>
      </w:r>
    </w:p>
    <w:p w:rsidR="00011855" w:rsidRPr="00011855" w:rsidRDefault="00011855" w:rsidP="00011855">
      <w:pPr>
        <w:ind w:left="567" w:hanging="283"/>
        <w:rPr>
          <w:rFonts w:cs="Tahoma"/>
          <w:b/>
          <w:szCs w:val="20"/>
        </w:rPr>
      </w:pPr>
      <w:r w:rsidRPr="00011855">
        <w:rPr>
          <w:rFonts w:cs="Tahoma"/>
          <w:b/>
          <w:szCs w:val="20"/>
        </w:rPr>
        <w:t>2.</w:t>
      </w:r>
      <w:r w:rsidRPr="00011855">
        <w:rPr>
          <w:rFonts w:cs="Tahoma"/>
          <w:b/>
          <w:szCs w:val="20"/>
        </w:rPr>
        <w:tab/>
        <w:t>Déterminez les moyens dont dispose l’État pour favoriser le développement durable.</w:t>
      </w:r>
    </w:p>
    <w:p w:rsidR="00011855" w:rsidRDefault="00011855" w:rsidP="00011855">
      <w:pPr>
        <w:ind w:left="567" w:hanging="283"/>
        <w:rPr>
          <w:rFonts w:cs="Tahoma"/>
          <w:b/>
          <w:szCs w:val="20"/>
        </w:rPr>
      </w:pPr>
      <w:r w:rsidRPr="00011855">
        <w:rPr>
          <w:rFonts w:cs="Tahoma"/>
          <w:b/>
          <w:szCs w:val="20"/>
        </w:rPr>
        <w:t>3.</w:t>
      </w:r>
      <w:r w:rsidRPr="00011855">
        <w:rPr>
          <w:rFonts w:cs="Tahoma"/>
          <w:b/>
          <w:szCs w:val="20"/>
        </w:rPr>
        <w:tab/>
        <w:t>Appréciez les effets des politiques de développement durable sur l’emploi.</w:t>
      </w:r>
    </w:p>
    <w:p w:rsidR="00DC4CD8" w:rsidRDefault="00EF2C17" w:rsidP="00011855">
      <w:pPr>
        <w:ind w:left="567" w:hanging="283"/>
      </w:pPr>
      <w:r w:rsidRPr="00EF2C17">
        <w:rPr>
          <w:rFonts w:cs="Tahoma"/>
          <w:b/>
          <w:szCs w:val="20"/>
        </w:rPr>
        <w:t>4.</w:t>
      </w:r>
      <w:r w:rsidRPr="00EF2C17">
        <w:rPr>
          <w:rFonts w:cs="Tahoma"/>
          <w:b/>
          <w:szCs w:val="20"/>
        </w:rPr>
        <w:tab/>
        <w:t>Rédigez une argumentation qui vous permette de répondre à la question suivante :</w:t>
      </w:r>
    </w:p>
    <w:p w:rsidR="009D2F18" w:rsidRDefault="00DC4CD8" w:rsidP="00DC4CD8">
      <w:r>
        <w:t xml:space="preserve"> </w:t>
      </w:r>
    </w:p>
    <w:p w:rsidR="009D2F18" w:rsidRDefault="00011855" w:rsidP="009D2F18">
      <w:r w:rsidRPr="00011855">
        <w:rPr>
          <w:b/>
        </w:rPr>
        <w:t>La croissance économique est-elle compatible avec les objectifs du développement durable ?</w:t>
      </w:r>
    </w:p>
    <w:p w:rsidR="009D2F18" w:rsidRDefault="009D2F18" w:rsidP="009D2F18"/>
    <w:p w:rsidR="009D2F18" w:rsidRDefault="009D2F18" w:rsidP="009D2F18">
      <w:pPr>
        <w:rPr>
          <w:b/>
        </w:rPr>
      </w:pPr>
      <w:r w:rsidRPr="009D2F18">
        <w:rPr>
          <w:b/>
          <w:u w:val="single"/>
        </w:rPr>
        <w:t>Annexes</w:t>
      </w:r>
      <w:r w:rsidRPr="009D2F18">
        <w:rPr>
          <w:b/>
        </w:rPr>
        <w:t xml:space="preserve"> :</w:t>
      </w:r>
    </w:p>
    <w:p w:rsidR="009D2F18" w:rsidRPr="009D2F18" w:rsidRDefault="009D2F18" w:rsidP="009D2F18">
      <w:pPr>
        <w:rPr>
          <w:b/>
        </w:rPr>
      </w:pPr>
    </w:p>
    <w:p w:rsidR="009D2F18" w:rsidRDefault="009D2F18" w:rsidP="009D2F18"/>
    <w:p w:rsidR="00EF2C17" w:rsidRDefault="00B119E4" w:rsidP="008C17C6">
      <w:pPr>
        <w:ind w:left="709" w:hanging="425"/>
      </w:pPr>
      <w:r>
        <w:t>•</w:t>
      </w:r>
      <w:r>
        <w:tab/>
      </w:r>
      <w:r w:rsidR="00EF2C17">
        <w:t xml:space="preserve">Annexe 1 : </w:t>
      </w:r>
      <w:r w:rsidR="00011855" w:rsidRPr="00B309EC">
        <w:t>Croissance économique et développement durable.</w:t>
      </w:r>
    </w:p>
    <w:p w:rsidR="00056590" w:rsidRDefault="00EF2C17" w:rsidP="00EF2C17">
      <w:pPr>
        <w:ind w:left="284"/>
      </w:pPr>
      <w:r>
        <w:t>•</w:t>
      </w:r>
      <w:r>
        <w:tab/>
        <w:t xml:space="preserve">Annexe 2 : </w:t>
      </w:r>
      <w:r w:rsidR="00011855" w:rsidRPr="00B309EC">
        <w:t>Évolution de l'emploi dans les éco-activités entre 2004 et 2014</w:t>
      </w:r>
      <w:r>
        <w:t>.</w:t>
      </w:r>
    </w:p>
    <w:p w:rsidR="00EF2C17" w:rsidRDefault="00EF2C17" w:rsidP="00EF2C17">
      <w:pPr>
        <w:ind w:left="284"/>
      </w:pPr>
      <w:r>
        <w:t>•</w:t>
      </w:r>
      <w:r>
        <w:tab/>
        <w:t xml:space="preserve">Annexe 3 : </w:t>
      </w:r>
      <w:r w:rsidR="00011855" w:rsidRPr="00B309EC">
        <w:t>Nombre d’emplois liés à la maintenance des parcs éoliens</w:t>
      </w:r>
      <w:r>
        <w:t>.</w:t>
      </w:r>
    </w:p>
    <w:p w:rsidR="00EF2C17" w:rsidRDefault="00EF2C17" w:rsidP="00EF2C17">
      <w:pPr>
        <w:ind w:left="284"/>
      </w:pPr>
      <w:r>
        <w:t>•</w:t>
      </w:r>
      <w:r>
        <w:tab/>
        <w:t xml:space="preserve">Annexe 4 : </w:t>
      </w:r>
      <w:r w:rsidR="00011855" w:rsidRPr="00B309EC">
        <w:t>Les actions en faveur de l’environnement</w:t>
      </w:r>
      <w:r>
        <w:t>.</w:t>
      </w:r>
    </w:p>
    <w:p w:rsidR="00EF2C17" w:rsidRDefault="00EF2C17" w:rsidP="00EF2C17">
      <w:pPr>
        <w:ind w:left="284"/>
      </w:pPr>
      <w:r>
        <w:t>•</w:t>
      </w:r>
      <w:r>
        <w:tab/>
        <w:t xml:space="preserve">Annexe 5 : </w:t>
      </w:r>
      <w:r w:rsidR="00011855" w:rsidRPr="00B309EC">
        <w:t>Combien va coûter la taxe carbone en 2016</w:t>
      </w:r>
      <w:r>
        <w:t>.</w:t>
      </w:r>
    </w:p>
    <w:p w:rsidR="00011855" w:rsidRDefault="00011855" w:rsidP="00011855">
      <w:pPr>
        <w:ind w:left="284"/>
      </w:pPr>
      <w:r>
        <w:t>•</w:t>
      </w:r>
      <w:r>
        <w:tab/>
        <w:t xml:space="preserve">Annexe </w:t>
      </w:r>
      <w:r>
        <w:t>6</w:t>
      </w:r>
      <w:r>
        <w:t xml:space="preserve"> : </w:t>
      </w:r>
      <w:r w:rsidRPr="00B309EC">
        <w:t>Le développement durable et les entreprises</w:t>
      </w:r>
      <w:r>
        <w:t>.</w:t>
      </w:r>
    </w:p>
    <w:p w:rsidR="00011855" w:rsidRDefault="00011855" w:rsidP="00EF2C17">
      <w:pPr>
        <w:ind w:left="284"/>
      </w:pPr>
    </w:p>
    <w:p w:rsidR="00011855" w:rsidRDefault="00011855" w:rsidP="00EF2C17">
      <w:pPr>
        <w:ind w:left="284"/>
      </w:pPr>
    </w:p>
    <w:p w:rsidR="009D2F18" w:rsidRDefault="009D2F18" w:rsidP="009D2F18">
      <w:r>
        <w:t xml:space="preserve"> </w:t>
      </w:r>
    </w:p>
    <w:p w:rsidR="00F1128D" w:rsidRPr="00AD56BC" w:rsidRDefault="009D2F18" w:rsidP="00F1128D">
      <w:pPr>
        <w:pBdr>
          <w:top w:val="single" w:sz="4" w:space="1" w:color="auto"/>
          <w:left w:val="single" w:sz="4" w:space="4" w:color="auto"/>
          <w:bottom w:val="single" w:sz="4" w:space="1" w:color="auto"/>
          <w:right w:val="single" w:sz="4" w:space="4" w:color="auto"/>
        </w:pBdr>
        <w:shd w:val="clear" w:color="auto" w:fill="FFFFFF"/>
        <w:jc w:val="center"/>
        <w:rPr>
          <w:rFonts w:ascii="Arial" w:hAnsi="Arial" w:cs="Arial"/>
          <w:b/>
          <w:color w:val="000000"/>
          <w:sz w:val="28"/>
        </w:rPr>
      </w:pPr>
      <w:r>
        <w:br w:type="page"/>
      </w:r>
      <w:bookmarkStart w:id="0" w:name="_Hlk491681045"/>
      <w:r w:rsidR="00F1128D" w:rsidRPr="00AD56BC">
        <w:rPr>
          <w:rFonts w:ascii="Arial" w:hAnsi="Arial" w:cs="Arial"/>
          <w:b/>
          <w:color w:val="000000"/>
          <w:sz w:val="28"/>
        </w:rPr>
        <w:lastRenderedPageBreak/>
        <w:t>ANNEXES</w:t>
      </w:r>
    </w:p>
    <w:bookmarkEnd w:id="0"/>
    <w:p w:rsidR="00BC1C7E" w:rsidRPr="00BC1C7E" w:rsidRDefault="00BC1C7E" w:rsidP="00BC1C7E">
      <w:pPr>
        <w:spacing w:line="253" w:lineRule="exact"/>
        <w:rPr>
          <w:b/>
        </w:rPr>
      </w:pPr>
      <w:r w:rsidRPr="00BC1C7E">
        <w:rPr>
          <w:b/>
          <w:sz w:val="22"/>
          <w:u w:val="single"/>
        </w:rPr>
        <w:t>Annexe 1</w:t>
      </w:r>
      <w:r w:rsidRPr="00BC1C7E">
        <w:rPr>
          <w:b/>
          <w:sz w:val="22"/>
        </w:rPr>
        <w:t xml:space="preserve"> : Croissance économique et développement durable</w:t>
      </w:r>
    </w:p>
    <w:p w:rsidR="00BC1C7E" w:rsidRPr="00BC1C7E" w:rsidRDefault="00BC1C7E" w:rsidP="00BC1C7E">
      <w:pPr>
        <w:pStyle w:val="Corpsdetexte"/>
        <w:spacing w:before="160"/>
        <w:ind w:right="-39"/>
        <w:rPr>
          <w:b w:val="0"/>
        </w:rPr>
      </w:pPr>
      <w:r w:rsidRPr="00BC1C7E">
        <w:rPr>
          <w:b w:val="0"/>
        </w:rPr>
        <w:t>Le développement durable, qui équilibre les besoins actuels avec ceux des générations à venir, est au cœur de l'agenda du développement des Nations Unies.</w:t>
      </w:r>
    </w:p>
    <w:p w:rsidR="00BC1C7E" w:rsidRPr="00BC1C7E" w:rsidRDefault="00BC1C7E" w:rsidP="00BC1C7E">
      <w:pPr>
        <w:pStyle w:val="Corpsdetexte"/>
        <w:spacing w:before="119"/>
        <w:ind w:right="-39"/>
        <w:rPr>
          <w:b w:val="0"/>
        </w:rPr>
      </w:pPr>
      <w:r w:rsidRPr="00BC1C7E">
        <w:rPr>
          <w:b w:val="0"/>
        </w:rPr>
        <w:t>L'ONU a adopté le concept de développement durable notamment à cause des changements climatiques. Selon le Groupe d’experts intergouvernemental sur l’évolution du climat (GIEC), si rien n'est fait pour lutter contre les changements climatiques, nos écosystèmes subiront des changements graves et irréversibles. Le développement durable, en ce qu'il est moins nocif aux écosystèmes, peut contribuer à lutter contre les changements climatiques, tout en contribuant aux besoins des plus pauvres et vulnérables, qui ont contribué le</w:t>
      </w:r>
      <w:r>
        <w:rPr>
          <w:b w:val="0"/>
        </w:rPr>
        <w:t xml:space="preserve"> </w:t>
      </w:r>
      <w:r w:rsidRPr="00BC1C7E">
        <w:rPr>
          <w:b w:val="0"/>
        </w:rPr>
        <w:t>moins</w:t>
      </w:r>
      <w:r>
        <w:rPr>
          <w:b w:val="0"/>
        </w:rPr>
        <w:t xml:space="preserve"> </w:t>
      </w:r>
      <w:r w:rsidRPr="00BC1C7E">
        <w:rPr>
          <w:b w:val="0"/>
        </w:rPr>
        <w:t>à</w:t>
      </w:r>
      <w:r>
        <w:rPr>
          <w:b w:val="0"/>
        </w:rPr>
        <w:t xml:space="preserve"> </w:t>
      </w:r>
      <w:r w:rsidRPr="00BC1C7E">
        <w:rPr>
          <w:b w:val="0"/>
        </w:rPr>
        <w:t>ces</w:t>
      </w:r>
      <w:r>
        <w:rPr>
          <w:b w:val="0"/>
        </w:rPr>
        <w:t xml:space="preserve"> </w:t>
      </w:r>
      <w:r w:rsidRPr="00BC1C7E">
        <w:rPr>
          <w:b w:val="0"/>
        </w:rPr>
        <w:t>changements</w:t>
      </w:r>
      <w:r>
        <w:rPr>
          <w:b w:val="0"/>
        </w:rPr>
        <w:t xml:space="preserve"> </w:t>
      </w:r>
      <w:r w:rsidRPr="00BC1C7E">
        <w:rPr>
          <w:b w:val="0"/>
        </w:rPr>
        <w:t>climatiques.</w:t>
      </w:r>
      <w:r w:rsidRPr="00BC1C7E">
        <w:rPr>
          <w:b w:val="0"/>
          <w:spacing w:val="-4"/>
        </w:rPr>
        <w:t xml:space="preserve"> </w:t>
      </w:r>
      <w:r w:rsidRPr="00BC1C7E">
        <w:rPr>
          <w:b w:val="0"/>
        </w:rPr>
        <w:t>[…]</w:t>
      </w:r>
    </w:p>
    <w:p w:rsidR="00BC1C7E" w:rsidRPr="00BC1C7E" w:rsidRDefault="00BC1C7E" w:rsidP="00BC1C7E">
      <w:pPr>
        <w:pStyle w:val="Corpsdetexte"/>
        <w:spacing w:before="119"/>
        <w:ind w:right="-39"/>
        <w:rPr>
          <w:b w:val="0"/>
        </w:rPr>
      </w:pPr>
      <w:r w:rsidRPr="00BC1C7E">
        <w:rPr>
          <w:b w:val="0"/>
        </w:rPr>
        <w:t>En décembre 2015 à Paris, les États Membres de l'ONU ont signé un accord historique universel sur le changement climatique. Cet accord prévoit la limitation de l'augmentation de la température bien en deçà de 2 degrés, allant peut-être même jusqu'à 1,5 degré. Le nouvel accord doit entrer en vigueur en 2020.</w:t>
      </w:r>
    </w:p>
    <w:p w:rsidR="00BC1C7E" w:rsidRPr="00BC1C7E" w:rsidRDefault="00BC1C7E" w:rsidP="00BC1C7E">
      <w:pPr>
        <w:pStyle w:val="Corpsdetexte"/>
        <w:spacing w:before="119"/>
        <w:ind w:right="-39"/>
        <w:rPr>
          <w:b w:val="0"/>
        </w:rPr>
      </w:pPr>
      <w:r w:rsidRPr="00BC1C7E">
        <w:rPr>
          <w:b w:val="0"/>
        </w:rPr>
        <w:t>Sans action urgente de la communauté internationale sur les changements climatiques, l'humanité fait face à un sombre avenir. Le cinquième rapport d'évaluation du Groupe d’experts intergouvernemental sur l’évolution du climat (GIEC) a appelé à des réductions significatives d'émissions de gaz à effet de serre, qui se sont récemment accrues à un niveau dangereux, notamment en raison d'une dépendance excessive aux carburants fossiles et au recours insuffisant aux sources d'énergies renouvelables.</w:t>
      </w:r>
    </w:p>
    <w:p w:rsidR="00BC1C7E" w:rsidRPr="00BC1C7E" w:rsidRDefault="00BC1C7E" w:rsidP="00BC1C7E">
      <w:pPr>
        <w:pStyle w:val="Corpsdetexte"/>
        <w:spacing w:before="119"/>
        <w:ind w:right="-39"/>
        <w:rPr>
          <w:b w:val="0"/>
        </w:rPr>
      </w:pPr>
      <w:r w:rsidRPr="00BC1C7E">
        <w:rPr>
          <w:b w:val="0"/>
        </w:rPr>
        <w:t>La croissance économique et le développement durable dépendent du développement de sources d'énergies renouvelables.</w:t>
      </w:r>
    </w:p>
    <w:p w:rsidR="00BC1C7E" w:rsidRPr="00BC1C7E" w:rsidRDefault="00BC1C7E" w:rsidP="00BC1C7E">
      <w:pPr>
        <w:spacing w:before="121"/>
        <w:jc w:val="right"/>
        <w:rPr>
          <w:b/>
          <w:i/>
        </w:rPr>
      </w:pPr>
      <w:r w:rsidRPr="00BC1C7E">
        <w:rPr>
          <w:b/>
          <w:i/>
          <w:sz w:val="22"/>
        </w:rPr>
        <w:t xml:space="preserve">Nations Unies, </w:t>
      </w:r>
      <w:hyperlink r:id="rId8">
        <w:r w:rsidRPr="00BC1C7E">
          <w:rPr>
            <w:b/>
            <w:i/>
            <w:sz w:val="22"/>
          </w:rPr>
          <w:t>www.un.org</w:t>
        </w:r>
      </w:hyperlink>
    </w:p>
    <w:p w:rsidR="00BC1C7E" w:rsidRDefault="00BC1C7E" w:rsidP="00BC1C7E">
      <w:pPr>
        <w:pStyle w:val="Corpsdetexte"/>
        <w:rPr>
          <w:i/>
        </w:rPr>
      </w:pPr>
    </w:p>
    <w:p w:rsidR="00BC1C7E" w:rsidRPr="00BC1C7E" w:rsidRDefault="00BC1C7E" w:rsidP="00BC1C7E">
      <w:pPr>
        <w:rPr>
          <w:b/>
        </w:rPr>
      </w:pPr>
      <w:r w:rsidRPr="00BC1C7E">
        <w:rPr>
          <w:b/>
          <w:sz w:val="22"/>
          <w:u w:val="single"/>
        </w:rPr>
        <w:t xml:space="preserve">Annexe </w:t>
      </w:r>
      <w:bookmarkStart w:id="1" w:name="_GoBack"/>
      <w:r w:rsidRPr="00BC1C7E">
        <w:rPr>
          <w:b/>
          <w:sz w:val="22"/>
          <w:u w:val="single"/>
        </w:rPr>
        <w:t>2</w:t>
      </w:r>
      <w:r w:rsidRPr="00BC1C7E">
        <w:rPr>
          <w:b/>
          <w:sz w:val="22"/>
        </w:rPr>
        <w:t xml:space="preserve"> </w:t>
      </w:r>
      <w:bookmarkEnd w:id="1"/>
      <w:r w:rsidRPr="00BC1C7E">
        <w:rPr>
          <w:b/>
          <w:sz w:val="22"/>
        </w:rPr>
        <w:t>: Évolution de l'emploi dans les éco-activités* entre 2004 et 2014</w:t>
      </w:r>
    </w:p>
    <w:p w:rsidR="00BC1C7E" w:rsidRPr="00B309EC" w:rsidRDefault="00BC1C7E" w:rsidP="00BC1C7E">
      <w:pPr>
        <w:spacing w:before="159"/>
      </w:pPr>
      <w:r w:rsidRPr="00B309EC">
        <w:rPr>
          <w:sz w:val="22"/>
        </w:rPr>
        <w:t>En indice base 100 en 2004</w:t>
      </w:r>
    </w:p>
    <w:p w:rsidR="00BC1C7E" w:rsidRPr="00B309EC" w:rsidRDefault="007042AE" w:rsidP="00BC1C7E">
      <w:pPr>
        <w:pStyle w:val="Corpsdetexte"/>
      </w:pPr>
      <w:r>
        <w:rPr>
          <w:noProof/>
        </w:rPr>
      </w:r>
      <w:r>
        <w:pict w14:anchorId="60D7D5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0" type="#_x0000_t75" style="width:468.7pt;height:138.75pt;mso-left-percent:-10001;mso-top-percent:-10001;mso-position-horizontal:absolute;mso-position-horizontal-relative:char;mso-position-vertical:absolute;mso-position-vertical-relative:line;mso-left-percent:-10001;mso-top-percent:-10001">
            <v:imagedata r:id="rId9" o:title=""/>
            <w10:anchorlock/>
          </v:shape>
        </w:pict>
      </w:r>
    </w:p>
    <w:p w:rsidR="00BC1C7E" w:rsidRPr="00820514" w:rsidRDefault="00BC1C7E" w:rsidP="00BC1C7E">
      <w:pPr>
        <w:spacing w:before="206" w:line="276" w:lineRule="auto"/>
        <w:ind w:right="424"/>
        <w:rPr>
          <w:i/>
          <w:szCs w:val="20"/>
        </w:rPr>
      </w:pPr>
      <w:r w:rsidRPr="00820514">
        <w:rPr>
          <w:i/>
          <w:szCs w:val="20"/>
        </w:rPr>
        <w:t>*Les éco-activités sont les activités qui produisent des biens ou services ayant pour finalité la protection de l’environnement ou la gestion des ressources. Elles sont exercées pour l’essentiel par des entreprises marchandes mais aussi par des administrations publiques.</w:t>
      </w:r>
    </w:p>
    <w:p w:rsidR="00BC1C7E" w:rsidRPr="00820514" w:rsidRDefault="00BC1C7E" w:rsidP="00820514">
      <w:pPr>
        <w:spacing w:before="0"/>
        <w:rPr>
          <w:szCs w:val="20"/>
        </w:rPr>
      </w:pPr>
      <w:r w:rsidRPr="00820514">
        <w:rPr>
          <w:szCs w:val="20"/>
        </w:rPr>
        <w:t>(p) Données provisoires.</w:t>
      </w:r>
    </w:p>
    <w:p w:rsidR="00BC1C7E" w:rsidRPr="007042AE" w:rsidRDefault="00BC1C7E" w:rsidP="007042AE">
      <w:pPr>
        <w:jc w:val="right"/>
        <w:rPr>
          <w:b/>
          <w:i/>
          <w:lang w:val="en-US"/>
        </w:rPr>
      </w:pPr>
      <w:proofErr w:type="gramStart"/>
      <w:r w:rsidRPr="007042AE">
        <w:rPr>
          <w:b/>
          <w:i/>
          <w:sz w:val="22"/>
          <w:lang w:val="en-US"/>
        </w:rPr>
        <w:t>Sources :</w:t>
      </w:r>
      <w:proofErr w:type="gramEnd"/>
      <w:r w:rsidRPr="007042AE">
        <w:rPr>
          <w:b/>
          <w:i/>
          <w:sz w:val="22"/>
          <w:lang w:val="en-US"/>
        </w:rPr>
        <w:t xml:space="preserve"> </w:t>
      </w:r>
      <w:proofErr w:type="spellStart"/>
      <w:r w:rsidRPr="007042AE">
        <w:rPr>
          <w:b/>
          <w:i/>
          <w:sz w:val="22"/>
          <w:lang w:val="en-US"/>
        </w:rPr>
        <w:t>Insee</w:t>
      </w:r>
      <w:proofErr w:type="spellEnd"/>
      <w:r w:rsidRPr="007042AE">
        <w:rPr>
          <w:b/>
          <w:i/>
          <w:sz w:val="22"/>
          <w:lang w:val="en-US"/>
        </w:rPr>
        <w:t xml:space="preserve">, </w:t>
      </w:r>
      <w:proofErr w:type="spellStart"/>
      <w:r w:rsidRPr="007042AE">
        <w:rPr>
          <w:b/>
          <w:i/>
          <w:sz w:val="22"/>
          <w:lang w:val="en-US"/>
        </w:rPr>
        <w:t>Ademe</w:t>
      </w:r>
      <w:proofErr w:type="spellEnd"/>
      <w:r w:rsidRPr="007042AE">
        <w:rPr>
          <w:b/>
          <w:i/>
          <w:sz w:val="22"/>
          <w:lang w:val="en-US"/>
        </w:rPr>
        <w:t xml:space="preserve"> </w:t>
      </w:r>
      <w:hyperlink r:id="rId10">
        <w:r w:rsidRPr="007042AE">
          <w:rPr>
            <w:b/>
            <w:i/>
            <w:sz w:val="22"/>
            <w:lang w:val="en-US"/>
          </w:rPr>
          <w:t>www.developpement-durable.gouv.fr</w:t>
        </w:r>
      </w:hyperlink>
    </w:p>
    <w:p w:rsidR="00BC1C7E" w:rsidRPr="007042AE" w:rsidRDefault="00BC1C7E" w:rsidP="007042AE">
      <w:pPr>
        <w:jc w:val="right"/>
        <w:rPr>
          <w:b/>
          <w:i/>
          <w:lang w:val="en-US"/>
        </w:rPr>
        <w:sectPr w:rsidR="00BC1C7E" w:rsidRPr="007042AE" w:rsidSect="00BC1C7E">
          <w:footerReference w:type="default" r:id="rId11"/>
          <w:type w:val="continuous"/>
          <w:pgSz w:w="11900" w:h="16840"/>
          <w:pgMar w:top="980" w:right="980" w:bottom="1200" w:left="1320" w:header="712" w:footer="1004" w:gutter="0"/>
          <w:cols w:space="720"/>
        </w:sectPr>
      </w:pPr>
    </w:p>
    <w:p w:rsidR="00BC1C7E" w:rsidRPr="007042AE" w:rsidRDefault="00BC1C7E" w:rsidP="00BC1C7E">
      <w:pPr>
        <w:spacing w:line="253" w:lineRule="exact"/>
        <w:rPr>
          <w:b/>
        </w:rPr>
      </w:pPr>
      <w:r w:rsidRPr="007042AE">
        <w:rPr>
          <w:b/>
          <w:sz w:val="22"/>
          <w:u w:val="single"/>
        </w:rPr>
        <w:lastRenderedPageBreak/>
        <w:t>Annexe 3</w:t>
      </w:r>
      <w:r w:rsidRPr="007042AE">
        <w:rPr>
          <w:b/>
          <w:sz w:val="22"/>
        </w:rPr>
        <w:t xml:space="preserve"> : Nombre d’emplois liés à la maintenance des parcs éoliens</w:t>
      </w:r>
    </w:p>
    <w:p w:rsidR="00BC1C7E" w:rsidRPr="00B309EC" w:rsidRDefault="00BC1C7E" w:rsidP="00BC1C7E">
      <w:pPr>
        <w:pStyle w:val="Corpsdetexte"/>
        <w:spacing w:before="2"/>
        <w:rPr>
          <w:b w:val="0"/>
          <w:sz w:val="21"/>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6"/>
        <w:gridCol w:w="929"/>
        <w:gridCol w:w="929"/>
        <w:gridCol w:w="929"/>
        <w:gridCol w:w="929"/>
        <w:gridCol w:w="929"/>
        <w:gridCol w:w="929"/>
        <w:gridCol w:w="929"/>
        <w:gridCol w:w="929"/>
        <w:gridCol w:w="929"/>
      </w:tblGrid>
      <w:tr w:rsidR="00BC1C7E" w:rsidTr="00820514">
        <w:trPr>
          <w:trHeight w:hRule="exact" w:val="540"/>
        </w:trPr>
        <w:tc>
          <w:tcPr>
            <w:tcW w:w="926" w:type="dxa"/>
            <w:shd w:val="clear" w:color="auto" w:fill="auto"/>
            <w:vAlign w:val="center"/>
          </w:tcPr>
          <w:p w:rsidR="00BC1C7E" w:rsidRPr="00820514" w:rsidRDefault="00BC1C7E" w:rsidP="00820514">
            <w:pPr>
              <w:pStyle w:val="TableParagraph"/>
              <w:widowControl w:val="0"/>
              <w:ind w:right="193"/>
              <w:jc w:val="center"/>
              <w:rPr>
                <w:b/>
              </w:rPr>
            </w:pPr>
            <w:r w:rsidRPr="00820514">
              <w:rPr>
                <w:b/>
              </w:rPr>
              <w:t>2006</w:t>
            </w:r>
          </w:p>
        </w:tc>
        <w:tc>
          <w:tcPr>
            <w:tcW w:w="929" w:type="dxa"/>
            <w:shd w:val="clear" w:color="auto" w:fill="auto"/>
            <w:vAlign w:val="center"/>
          </w:tcPr>
          <w:p w:rsidR="00BC1C7E" w:rsidRPr="00820514" w:rsidRDefault="00BC1C7E" w:rsidP="00820514">
            <w:pPr>
              <w:pStyle w:val="TableParagraph"/>
              <w:widowControl w:val="0"/>
              <w:jc w:val="center"/>
              <w:rPr>
                <w:b/>
              </w:rPr>
            </w:pPr>
            <w:r w:rsidRPr="00820514">
              <w:rPr>
                <w:b/>
              </w:rPr>
              <w:t>2007</w:t>
            </w:r>
          </w:p>
        </w:tc>
        <w:tc>
          <w:tcPr>
            <w:tcW w:w="929" w:type="dxa"/>
            <w:shd w:val="clear" w:color="auto" w:fill="auto"/>
            <w:vAlign w:val="center"/>
          </w:tcPr>
          <w:p w:rsidR="00BC1C7E" w:rsidRPr="00820514" w:rsidRDefault="00BC1C7E" w:rsidP="00820514">
            <w:pPr>
              <w:pStyle w:val="TableParagraph"/>
              <w:widowControl w:val="0"/>
              <w:ind w:right="215"/>
              <w:jc w:val="center"/>
              <w:rPr>
                <w:b/>
              </w:rPr>
            </w:pPr>
            <w:r w:rsidRPr="00820514">
              <w:rPr>
                <w:b/>
              </w:rPr>
              <w:t>2008</w:t>
            </w:r>
          </w:p>
        </w:tc>
        <w:tc>
          <w:tcPr>
            <w:tcW w:w="929" w:type="dxa"/>
            <w:shd w:val="clear" w:color="auto" w:fill="auto"/>
            <w:vAlign w:val="center"/>
          </w:tcPr>
          <w:p w:rsidR="00BC1C7E" w:rsidRPr="00820514" w:rsidRDefault="00BC1C7E" w:rsidP="00820514">
            <w:pPr>
              <w:pStyle w:val="TableParagraph"/>
              <w:widowControl w:val="0"/>
              <w:jc w:val="center"/>
              <w:rPr>
                <w:b/>
              </w:rPr>
            </w:pPr>
            <w:r w:rsidRPr="00820514">
              <w:rPr>
                <w:b/>
              </w:rPr>
              <w:t>2009</w:t>
            </w:r>
          </w:p>
        </w:tc>
        <w:tc>
          <w:tcPr>
            <w:tcW w:w="929" w:type="dxa"/>
            <w:shd w:val="clear" w:color="auto" w:fill="auto"/>
            <w:vAlign w:val="center"/>
          </w:tcPr>
          <w:p w:rsidR="00BC1C7E" w:rsidRPr="00820514" w:rsidRDefault="00BC1C7E" w:rsidP="00820514">
            <w:pPr>
              <w:pStyle w:val="TableParagraph"/>
              <w:widowControl w:val="0"/>
              <w:jc w:val="center"/>
              <w:rPr>
                <w:b/>
              </w:rPr>
            </w:pPr>
            <w:r w:rsidRPr="00820514">
              <w:rPr>
                <w:b/>
              </w:rPr>
              <w:t>2010</w:t>
            </w:r>
          </w:p>
        </w:tc>
        <w:tc>
          <w:tcPr>
            <w:tcW w:w="929" w:type="dxa"/>
            <w:shd w:val="clear" w:color="auto" w:fill="auto"/>
            <w:vAlign w:val="center"/>
          </w:tcPr>
          <w:p w:rsidR="00BC1C7E" w:rsidRPr="00820514" w:rsidRDefault="00BC1C7E" w:rsidP="00820514">
            <w:pPr>
              <w:pStyle w:val="TableParagraph"/>
              <w:widowControl w:val="0"/>
              <w:jc w:val="center"/>
              <w:rPr>
                <w:b/>
              </w:rPr>
            </w:pPr>
            <w:r w:rsidRPr="00820514">
              <w:rPr>
                <w:b/>
              </w:rPr>
              <w:t>2011</w:t>
            </w:r>
          </w:p>
        </w:tc>
        <w:tc>
          <w:tcPr>
            <w:tcW w:w="929" w:type="dxa"/>
            <w:shd w:val="clear" w:color="auto" w:fill="auto"/>
            <w:vAlign w:val="center"/>
          </w:tcPr>
          <w:p w:rsidR="00BC1C7E" w:rsidRPr="00820514" w:rsidRDefault="00BC1C7E" w:rsidP="00820514">
            <w:pPr>
              <w:pStyle w:val="TableParagraph"/>
              <w:widowControl w:val="0"/>
              <w:jc w:val="center"/>
              <w:rPr>
                <w:b/>
              </w:rPr>
            </w:pPr>
            <w:r w:rsidRPr="00820514">
              <w:rPr>
                <w:b/>
              </w:rPr>
              <w:t>2012</w:t>
            </w:r>
          </w:p>
        </w:tc>
        <w:tc>
          <w:tcPr>
            <w:tcW w:w="929" w:type="dxa"/>
            <w:shd w:val="clear" w:color="auto" w:fill="auto"/>
            <w:vAlign w:val="center"/>
          </w:tcPr>
          <w:p w:rsidR="00BC1C7E" w:rsidRPr="00820514" w:rsidRDefault="00BC1C7E" w:rsidP="00820514">
            <w:pPr>
              <w:pStyle w:val="TableParagraph"/>
              <w:widowControl w:val="0"/>
              <w:jc w:val="center"/>
              <w:rPr>
                <w:b/>
              </w:rPr>
            </w:pPr>
            <w:r w:rsidRPr="00820514">
              <w:rPr>
                <w:b/>
              </w:rPr>
              <w:t>2013</w:t>
            </w:r>
          </w:p>
        </w:tc>
        <w:tc>
          <w:tcPr>
            <w:tcW w:w="929" w:type="dxa"/>
            <w:shd w:val="clear" w:color="auto" w:fill="auto"/>
            <w:vAlign w:val="center"/>
          </w:tcPr>
          <w:p w:rsidR="00BC1C7E" w:rsidRPr="00820514" w:rsidRDefault="00BC1C7E" w:rsidP="00820514">
            <w:pPr>
              <w:pStyle w:val="TableParagraph"/>
              <w:widowControl w:val="0"/>
              <w:jc w:val="center"/>
              <w:rPr>
                <w:b/>
              </w:rPr>
            </w:pPr>
            <w:r w:rsidRPr="00820514">
              <w:rPr>
                <w:b/>
              </w:rPr>
              <w:t>2014</w:t>
            </w:r>
          </w:p>
        </w:tc>
        <w:tc>
          <w:tcPr>
            <w:tcW w:w="929" w:type="dxa"/>
            <w:shd w:val="clear" w:color="auto" w:fill="auto"/>
            <w:vAlign w:val="center"/>
          </w:tcPr>
          <w:p w:rsidR="00BC1C7E" w:rsidRPr="00820514" w:rsidRDefault="00BC1C7E" w:rsidP="00820514">
            <w:pPr>
              <w:pStyle w:val="TableParagraph"/>
              <w:widowControl w:val="0"/>
              <w:jc w:val="center"/>
              <w:rPr>
                <w:b/>
              </w:rPr>
            </w:pPr>
            <w:r w:rsidRPr="00820514">
              <w:rPr>
                <w:b/>
              </w:rPr>
              <w:t>2015</w:t>
            </w:r>
          </w:p>
        </w:tc>
      </w:tr>
      <w:tr w:rsidR="00BC1C7E" w:rsidTr="00820514">
        <w:trPr>
          <w:trHeight w:hRule="exact" w:val="542"/>
        </w:trPr>
        <w:tc>
          <w:tcPr>
            <w:tcW w:w="926" w:type="dxa"/>
            <w:shd w:val="clear" w:color="auto" w:fill="auto"/>
            <w:vAlign w:val="center"/>
          </w:tcPr>
          <w:p w:rsidR="00BC1C7E" w:rsidRDefault="00BC1C7E" w:rsidP="00820514">
            <w:pPr>
              <w:pStyle w:val="TableParagraph"/>
              <w:widowControl w:val="0"/>
              <w:ind w:right="193"/>
              <w:jc w:val="center"/>
            </w:pPr>
            <w:r>
              <w:t>385</w:t>
            </w:r>
          </w:p>
        </w:tc>
        <w:tc>
          <w:tcPr>
            <w:tcW w:w="929" w:type="dxa"/>
            <w:shd w:val="clear" w:color="auto" w:fill="auto"/>
            <w:vAlign w:val="center"/>
          </w:tcPr>
          <w:p w:rsidR="00BC1C7E" w:rsidRDefault="00BC1C7E" w:rsidP="00820514">
            <w:pPr>
              <w:pStyle w:val="TableParagraph"/>
              <w:widowControl w:val="0"/>
              <w:jc w:val="center"/>
            </w:pPr>
            <w:r>
              <w:t>562</w:t>
            </w:r>
          </w:p>
        </w:tc>
        <w:tc>
          <w:tcPr>
            <w:tcW w:w="929" w:type="dxa"/>
            <w:shd w:val="clear" w:color="auto" w:fill="auto"/>
            <w:vAlign w:val="center"/>
          </w:tcPr>
          <w:p w:rsidR="00BC1C7E" w:rsidRDefault="00BC1C7E" w:rsidP="00820514">
            <w:pPr>
              <w:pStyle w:val="TableParagraph"/>
              <w:widowControl w:val="0"/>
              <w:ind w:right="275"/>
              <w:jc w:val="center"/>
            </w:pPr>
            <w:r>
              <w:t>804</w:t>
            </w:r>
          </w:p>
        </w:tc>
        <w:tc>
          <w:tcPr>
            <w:tcW w:w="929" w:type="dxa"/>
            <w:shd w:val="clear" w:color="auto" w:fill="auto"/>
            <w:vAlign w:val="center"/>
          </w:tcPr>
          <w:p w:rsidR="00BC1C7E" w:rsidRDefault="00BC1C7E" w:rsidP="00820514">
            <w:pPr>
              <w:pStyle w:val="TableParagraph"/>
              <w:widowControl w:val="0"/>
              <w:jc w:val="center"/>
            </w:pPr>
            <w:r>
              <w:t>1 059</w:t>
            </w:r>
          </w:p>
        </w:tc>
        <w:tc>
          <w:tcPr>
            <w:tcW w:w="929" w:type="dxa"/>
            <w:shd w:val="clear" w:color="auto" w:fill="auto"/>
            <w:vAlign w:val="center"/>
          </w:tcPr>
          <w:p w:rsidR="00BC1C7E" w:rsidRDefault="00BC1C7E" w:rsidP="00820514">
            <w:pPr>
              <w:pStyle w:val="TableParagraph"/>
              <w:widowControl w:val="0"/>
              <w:jc w:val="center"/>
            </w:pPr>
            <w:r>
              <w:t>1 340</w:t>
            </w:r>
          </w:p>
        </w:tc>
        <w:tc>
          <w:tcPr>
            <w:tcW w:w="929" w:type="dxa"/>
            <w:shd w:val="clear" w:color="auto" w:fill="auto"/>
            <w:vAlign w:val="center"/>
          </w:tcPr>
          <w:p w:rsidR="00BC1C7E" w:rsidRDefault="00BC1C7E" w:rsidP="00820514">
            <w:pPr>
              <w:pStyle w:val="TableParagraph"/>
              <w:widowControl w:val="0"/>
              <w:ind w:right="160"/>
              <w:jc w:val="center"/>
            </w:pPr>
            <w:r>
              <w:t>1 526</w:t>
            </w:r>
          </w:p>
        </w:tc>
        <w:tc>
          <w:tcPr>
            <w:tcW w:w="929" w:type="dxa"/>
            <w:shd w:val="clear" w:color="auto" w:fill="auto"/>
            <w:vAlign w:val="center"/>
          </w:tcPr>
          <w:p w:rsidR="00BC1C7E" w:rsidRDefault="00BC1C7E" w:rsidP="00820514">
            <w:pPr>
              <w:pStyle w:val="TableParagraph"/>
              <w:widowControl w:val="0"/>
              <w:jc w:val="center"/>
            </w:pPr>
            <w:r>
              <w:t>1 702</w:t>
            </w:r>
          </w:p>
        </w:tc>
        <w:tc>
          <w:tcPr>
            <w:tcW w:w="929" w:type="dxa"/>
            <w:shd w:val="clear" w:color="auto" w:fill="auto"/>
            <w:vAlign w:val="center"/>
          </w:tcPr>
          <w:p w:rsidR="00BC1C7E" w:rsidRDefault="00BC1C7E" w:rsidP="00820514">
            <w:pPr>
              <w:pStyle w:val="TableParagraph"/>
              <w:widowControl w:val="0"/>
              <w:jc w:val="center"/>
            </w:pPr>
            <w:r>
              <w:t>1 839</w:t>
            </w:r>
          </w:p>
        </w:tc>
        <w:tc>
          <w:tcPr>
            <w:tcW w:w="929" w:type="dxa"/>
            <w:shd w:val="clear" w:color="auto" w:fill="auto"/>
            <w:vAlign w:val="center"/>
          </w:tcPr>
          <w:p w:rsidR="00BC1C7E" w:rsidRDefault="00BC1C7E" w:rsidP="00820514">
            <w:pPr>
              <w:pStyle w:val="TableParagraph"/>
              <w:widowControl w:val="0"/>
              <w:ind w:right="160"/>
              <w:jc w:val="center"/>
            </w:pPr>
            <w:r>
              <w:t>2 101</w:t>
            </w:r>
          </w:p>
        </w:tc>
        <w:tc>
          <w:tcPr>
            <w:tcW w:w="929" w:type="dxa"/>
            <w:shd w:val="clear" w:color="auto" w:fill="auto"/>
            <w:vAlign w:val="center"/>
          </w:tcPr>
          <w:p w:rsidR="00BC1C7E" w:rsidRDefault="00BC1C7E" w:rsidP="00820514">
            <w:pPr>
              <w:pStyle w:val="TableParagraph"/>
              <w:widowControl w:val="0"/>
              <w:ind w:right="160"/>
              <w:jc w:val="center"/>
            </w:pPr>
            <w:r>
              <w:t>2 337</w:t>
            </w:r>
          </w:p>
        </w:tc>
      </w:tr>
    </w:tbl>
    <w:p w:rsidR="007042AE" w:rsidRDefault="007042AE" w:rsidP="007042AE">
      <w:pPr>
        <w:spacing w:before="0" w:after="0"/>
        <w:ind w:right="210"/>
        <w:rPr>
          <w:i/>
          <w:sz w:val="22"/>
        </w:rPr>
      </w:pPr>
    </w:p>
    <w:p w:rsidR="00BC1C7E" w:rsidRPr="007042AE" w:rsidRDefault="00BC1C7E" w:rsidP="007042AE">
      <w:pPr>
        <w:spacing w:before="0" w:after="0"/>
        <w:ind w:right="210"/>
        <w:jc w:val="right"/>
        <w:rPr>
          <w:b/>
          <w:i/>
          <w:szCs w:val="20"/>
        </w:rPr>
      </w:pPr>
      <w:r w:rsidRPr="007042AE">
        <w:rPr>
          <w:b/>
          <w:i/>
          <w:szCs w:val="20"/>
        </w:rPr>
        <w:t>Marchés et emplois liés à l’efficacité énergétique et aux énergies renouvelables : situation</w:t>
      </w:r>
      <w:r w:rsidR="007042AE" w:rsidRPr="007042AE">
        <w:rPr>
          <w:b/>
          <w:i/>
          <w:szCs w:val="20"/>
        </w:rPr>
        <w:t xml:space="preserve"> </w:t>
      </w:r>
      <w:r w:rsidRPr="007042AE">
        <w:rPr>
          <w:b/>
          <w:i/>
          <w:szCs w:val="20"/>
        </w:rPr>
        <w:t xml:space="preserve">2013-2014 et perspectives à court terme. </w:t>
      </w:r>
      <w:proofErr w:type="spellStart"/>
      <w:r w:rsidRPr="007042AE">
        <w:rPr>
          <w:b/>
          <w:i/>
          <w:szCs w:val="20"/>
        </w:rPr>
        <w:t>Ademe</w:t>
      </w:r>
      <w:proofErr w:type="spellEnd"/>
      <w:r w:rsidRPr="007042AE">
        <w:rPr>
          <w:b/>
          <w:i/>
          <w:szCs w:val="20"/>
        </w:rPr>
        <w:t xml:space="preserve"> 2016.</w:t>
      </w:r>
    </w:p>
    <w:p w:rsidR="007042AE" w:rsidRDefault="007042AE" w:rsidP="00BC1C7E">
      <w:pPr>
        <w:pStyle w:val="Titre1"/>
        <w:spacing w:before="85"/>
        <w:rPr>
          <w:u w:val="thick"/>
        </w:rPr>
      </w:pPr>
    </w:p>
    <w:p w:rsidR="00BC1C7E" w:rsidRPr="007042AE" w:rsidRDefault="00BC1C7E" w:rsidP="00BC1C7E">
      <w:pPr>
        <w:pStyle w:val="Titre1"/>
        <w:spacing w:before="85"/>
        <w:rPr>
          <w:rFonts w:ascii="Tahoma" w:hAnsi="Tahoma" w:cs="Tahoma"/>
          <w:sz w:val="22"/>
          <w:szCs w:val="22"/>
        </w:rPr>
      </w:pPr>
      <w:r w:rsidRPr="007042AE">
        <w:rPr>
          <w:rFonts w:ascii="Tahoma" w:hAnsi="Tahoma" w:cs="Tahoma"/>
          <w:sz w:val="22"/>
          <w:szCs w:val="22"/>
          <w:u w:val="single"/>
        </w:rPr>
        <w:t>Annexe 4</w:t>
      </w:r>
      <w:r w:rsidRPr="007042AE">
        <w:rPr>
          <w:rFonts w:ascii="Tahoma" w:hAnsi="Tahoma" w:cs="Tahoma"/>
          <w:sz w:val="22"/>
          <w:szCs w:val="22"/>
        </w:rPr>
        <w:t xml:space="preserve"> : Les actions en faveur de l’environnement</w:t>
      </w:r>
    </w:p>
    <w:p w:rsidR="00BC1C7E" w:rsidRPr="00B309EC" w:rsidRDefault="00BC1C7E" w:rsidP="00BC1C7E">
      <w:pPr>
        <w:pStyle w:val="Corpsdetexte"/>
        <w:spacing w:before="4"/>
        <w:rPr>
          <w:b w:val="0"/>
          <w:sz w:val="16"/>
        </w:rPr>
      </w:pPr>
    </w:p>
    <w:p w:rsidR="00BC1C7E" w:rsidRPr="007042AE" w:rsidRDefault="00BC1C7E" w:rsidP="00BC1C7E">
      <w:pPr>
        <w:pStyle w:val="Corpsdetexte"/>
        <w:spacing w:before="92"/>
        <w:ind w:right="226"/>
        <w:rPr>
          <w:b w:val="0"/>
          <w:szCs w:val="20"/>
        </w:rPr>
      </w:pPr>
      <w:r w:rsidRPr="007042AE">
        <w:rPr>
          <w:b w:val="0"/>
          <w:szCs w:val="20"/>
        </w:rPr>
        <w:t>En 2013, la dépense de protection de l'environnement s'établit à 47,2 milliards d'euros. La gestion des déchets (35 %) et l'assainissement des eaux usées (27 %) constituent les principaux postes de ce total. Elle a augmenté depuis 2000 à un rythme plus soutenu que le produit intérieur brut (PIB) : + 4 % en moyenne annuelle en euros courants contre + 2,8 %. Cette forte hausse a été principalement impulsée par les pouvoirs publics. Les mesures incitatives se sont développées (dispositif bonus/malus, crédit d'impôt développement durable), tout comme les réglementations contraignantes (mises aux normes d'équipements industriels) ; la qualité des services collectifs s'est par ailleurs améliorée (collecte sélective des déchets). En ajoutant à cette dépense, les thématiques relatives à la gestion des ressources, l'alimentation en eau potable et le secteur de la récupération, plus de</w:t>
      </w:r>
      <w:r w:rsidRPr="007042AE">
        <w:rPr>
          <w:b w:val="0"/>
          <w:szCs w:val="20"/>
        </w:rPr>
        <w:t xml:space="preserve"> </w:t>
      </w:r>
      <w:r w:rsidRPr="007042AE">
        <w:rPr>
          <w:b w:val="0"/>
          <w:szCs w:val="20"/>
        </w:rPr>
        <w:t>67 milliards d'euros sont dépensés en France dans le domaine de l'environnement. […]</w:t>
      </w:r>
    </w:p>
    <w:p w:rsidR="00BC1C7E" w:rsidRPr="007042AE" w:rsidRDefault="00BC1C7E" w:rsidP="00BC1C7E">
      <w:pPr>
        <w:pStyle w:val="Corpsdetexte"/>
        <w:spacing w:before="119"/>
        <w:ind w:right="227"/>
        <w:rPr>
          <w:b w:val="0"/>
          <w:szCs w:val="20"/>
        </w:rPr>
      </w:pPr>
      <w:r w:rsidRPr="007042AE">
        <w:rPr>
          <w:b w:val="0"/>
          <w:szCs w:val="20"/>
        </w:rPr>
        <w:t>Plus de 95 500 élèves et étudiants sont inscrits en 2013 en dernière année de l'une des 1 152 formations environnementales, allant du CAP au diplôme d'ingénieur. L'environnement représente 8 % des effectifs inscrits dans l'ensemble des formations, contre 5 % en</w:t>
      </w:r>
      <w:r w:rsidRPr="007042AE">
        <w:rPr>
          <w:b w:val="0"/>
          <w:spacing w:val="-5"/>
          <w:szCs w:val="20"/>
        </w:rPr>
        <w:t xml:space="preserve"> </w:t>
      </w:r>
      <w:r w:rsidRPr="007042AE">
        <w:rPr>
          <w:b w:val="0"/>
          <w:szCs w:val="20"/>
        </w:rPr>
        <w:t>2008.</w:t>
      </w:r>
    </w:p>
    <w:p w:rsidR="00BC1C7E" w:rsidRPr="007042AE" w:rsidRDefault="00BC1C7E" w:rsidP="007042AE">
      <w:pPr>
        <w:jc w:val="right"/>
        <w:rPr>
          <w:b/>
          <w:i/>
          <w:szCs w:val="20"/>
        </w:rPr>
      </w:pPr>
      <w:r w:rsidRPr="007042AE">
        <w:rPr>
          <w:b/>
          <w:i/>
          <w:szCs w:val="20"/>
        </w:rPr>
        <w:t>Tableaux de l'Économie Française - Édition 2016 - mars 2016</w:t>
      </w:r>
    </w:p>
    <w:p w:rsidR="00BC1C7E" w:rsidRPr="00B309EC" w:rsidRDefault="00BC1C7E" w:rsidP="00BC1C7E">
      <w:pPr>
        <w:pStyle w:val="Corpsdetexte"/>
        <w:rPr>
          <w:i/>
          <w:sz w:val="26"/>
        </w:rPr>
      </w:pPr>
    </w:p>
    <w:p w:rsidR="00BC1C7E" w:rsidRPr="00B309EC" w:rsidRDefault="00BC1C7E" w:rsidP="00BC1C7E">
      <w:pPr>
        <w:pStyle w:val="Corpsdetexte"/>
        <w:spacing w:before="10"/>
        <w:rPr>
          <w:i/>
          <w:sz w:val="37"/>
        </w:rPr>
      </w:pPr>
    </w:p>
    <w:p w:rsidR="00BC1C7E" w:rsidRPr="007042AE" w:rsidRDefault="00BC1C7E" w:rsidP="00BC1C7E">
      <w:pPr>
        <w:pStyle w:val="Titre1"/>
        <w:rPr>
          <w:rFonts w:ascii="Tahoma" w:hAnsi="Tahoma" w:cs="Tahoma"/>
          <w:sz w:val="22"/>
          <w:szCs w:val="22"/>
        </w:rPr>
      </w:pPr>
      <w:r w:rsidRPr="007042AE">
        <w:rPr>
          <w:rFonts w:ascii="Tahoma" w:hAnsi="Tahoma" w:cs="Tahoma"/>
          <w:sz w:val="22"/>
          <w:szCs w:val="22"/>
          <w:u w:val="single"/>
        </w:rPr>
        <w:t>Annexe 5</w:t>
      </w:r>
      <w:r w:rsidRPr="007042AE">
        <w:rPr>
          <w:rFonts w:ascii="Tahoma" w:hAnsi="Tahoma" w:cs="Tahoma"/>
          <w:sz w:val="22"/>
          <w:szCs w:val="22"/>
        </w:rPr>
        <w:t xml:space="preserve"> : Combien va vous coûter la taxe carbone en 2016 ?</w:t>
      </w:r>
    </w:p>
    <w:p w:rsidR="00BC1C7E" w:rsidRPr="00B309EC" w:rsidRDefault="00BC1C7E" w:rsidP="00BC1C7E">
      <w:pPr>
        <w:pStyle w:val="Corpsdetexte"/>
        <w:rPr>
          <w:b w:val="0"/>
          <w:sz w:val="21"/>
        </w:rPr>
      </w:pPr>
    </w:p>
    <w:p w:rsidR="00BC1C7E" w:rsidRPr="007042AE" w:rsidRDefault="00BC1C7E" w:rsidP="00BC1C7E">
      <w:pPr>
        <w:pStyle w:val="Corpsdetexte"/>
        <w:spacing w:line="276" w:lineRule="auto"/>
        <w:ind w:right="228"/>
        <w:rPr>
          <w:b w:val="0"/>
        </w:rPr>
      </w:pPr>
      <w:r w:rsidRPr="007042AE">
        <w:rPr>
          <w:b w:val="0"/>
        </w:rPr>
        <w:t>Selon une étude du ministère de l'Environnement, cette taxe va augmenter la facture énergétique des ménages de 83 euros en moyenne cette année. […]</w:t>
      </w:r>
    </w:p>
    <w:p w:rsidR="00BC1C7E" w:rsidRPr="007042AE" w:rsidRDefault="00BC1C7E" w:rsidP="00BC1C7E">
      <w:pPr>
        <w:pStyle w:val="Corpsdetexte"/>
        <w:spacing w:before="199" w:line="276" w:lineRule="auto"/>
        <w:ind w:right="227"/>
        <w:rPr>
          <w:b w:val="0"/>
        </w:rPr>
      </w:pPr>
      <w:r w:rsidRPr="007042AE">
        <w:rPr>
          <w:b w:val="0"/>
        </w:rPr>
        <w:t>La contribution climat énergie (CCE) - nom officiel de la taxe carbone - ne sera pas indolore pour les ménages. Introduite par la loi de finances 2014, cette taxe augmente la fiscalité des énergies fossiles (carburant, gaz, fioul…) utilisées par les ménages pour se déplacer et se chauffer. Le gouvernement a prévu une montée en puissance du montant de cette taxe. De 7 euros la tonne de CO² en 2014, elle est passée à 22 euros en 2016. Cette année, la taxe carbone va surtout gonfler le prix</w:t>
      </w:r>
      <w:r w:rsidRPr="007042AE">
        <w:rPr>
          <w:b w:val="0"/>
        </w:rPr>
        <w:t xml:space="preserve"> </w:t>
      </w:r>
      <w:r w:rsidRPr="007042AE">
        <w:rPr>
          <w:b w:val="0"/>
        </w:rPr>
        <w:t>du gaz et du fioul domestique. Le gazole, qui subira déjà un rattrapage de sa fiscalité par rapport à celle de l'essence, sera renchéri de 4,76 centimes d'euro par litre</w:t>
      </w:r>
      <w:r w:rsidRPr="007042AE">
        <w:rPr>
          <w:b w:val="0"/>
        </w:rPr>
        <w:t xml:space="preserve"> </w:t>
      </w:r>
      <w:r w:rsidRPr="007042AE">
        <w:rPr>
          <w:b w:val="0"/>
        </w:rPr>
        <w:t>contre 4,10 centimes par litre pour le super sans</w:t>
      </w:r>
      <w:r w:rsidRPr="007042AE">
        <w:rPr>
          <w:b w:val="0"/>
          <w:spacing w:val="-14"/>
        </w:rPr>
        <w:t xml:space="preserve"> </w:t>
      </w:r>
      <w:r w:rsidRPr="007042AE">
        <w:rPr>
          <w:b w:val="0"/>
        </w:rPr>
        <w:t>plomb.</w:t>
      </w:r>
    </w:p>
    <w:p w:rsidR="00BC1C7E" w:rsidRPr="007042AE" w:rsidRDefault="00BC1C7E" w:rsidP="00BC1C7E">
      <w:pPr>
        <w:spacing w:before="201"/>
        <w:ind w:right="228"/>
        <w:jc w:val="right"/>
        <w:rPr>
          <w:b/>
          <w:i/>
          <w:szCs w:val="20"/>
        </w:rPr>
      </w:pPr>
      <w:r w:rsidRPr="007042AE">
        <w:rPr>
          <w:b/>
          <w:i/>
          <w:szCs w:val="20"/>
        </w:rPr>
        <w:t xml:space="preserve">D’après </w:t>
      </w:r>
      <w:hyperlink r:id="rId12">
        <w:r w:rsidRPr="007042AE">
          <w:rPr>
            <w:b/>
            <w:i/>
            <w:szCs w:val="20"/>
          </w:rPr>
          <w:t>www.lefigaro.fr</w:t>
        </w:r>
      </w:hyperlink>
    </w:p>
    <w:p w:rsidR="00BC1C7E" w:rsidRPr="007042AE" w:rsidRDefault="00BC1C7E" w:rsidP="00BC1C7E">
      <w:pPr>
        <w:jc w:val="right"/>
        <w:rPr>
          <w:b/>
          <w:szCs w:val="20"/>
        </w:rPr>
        <w:sectPr w:rsidR="00BC1C7E" w:rsidRPr="007042AE">
          <w:pgSz w:w="11900" w:h="16840"/>
          <w:pgMar w:top="960" w:right="1180" w:bottom="1200" w:left="1200" w:header="712" w:footer="1004" w:gutter="0"/>
          <w:cols w:space="720"/>
        </w:sectPr>
      </w:pPr>
    </w:p>
    <w:p w:rsidR="00BC1C7E" w:rsidRPr="007042AE" w:rsidRDefault="00BC1C7E" w:rsidP="00BC1C7E">
      <w:pPr>
        <w:pStyle w:val="Titre1"/>
        <w:spacing w:before="2"/>
        <w:rPr>
          <w:rFonts w:ascii="Tahoma" w:hAnsi="Tahoma" w:cs="Tahoma"/>
          <w:sz w:val="22"/>
          <w:szCs w:val="22"/>
        </w:rPr>
      </w:pPr>
      <w:r w:rsidRPr="007042AE">
        <w:rPr>
          <w:rFonts w:ascii="Tahoma" w:hAnsi="Tahoma" w:cs="Tahoma"/>
          <w:sz w:val="22"/>
          <w:szCs w:val="22"/>
          <w:u w:val="single"/>
        </w:rPr>
        <w:lastRenderedPageBreak/>
        <w:t>Annexe 6</w:t>
      </w:r>
      <w:r w:rsidRPr="007042AE">
        <w:rPr>
          <w:rFonts w:ascii="Tahoma" w:hAnsi="Tahoma" w:cs="Tahoma"/>
          <w:sz w:val="22"/>
          <w:szCs w:val="22"/>
        </w:rPr>
        <w:t xml:space="preserve"> : Le développement durable et les entreprises</w:t>
      </w:r>
    </w:p>
    <w:p w:rsidR="00BC1C7E" w:rsidRPr="007042AE" w:rsidRDefault="00BC1C7E" w:rsidP="00BC1C7E">
      <w:pPr>
        <w:pStyle w:val="Corpsdetexte"/>
        <w:rPr>
          <w:b w:val="0"/>
          <w:sz w:val="21"/>
        </w:rPr>
      </w:pPr>
    </w:p>
    <w:p w:rsidR="00BC1C7E" w:rsidRPr="007042AE" w:rsidRDefault="00BC1C7E" w:rsidP="00BC1C7E">
      <w:pPr>
        <w:pStyle w:val="Corpsdetexte"/>
        <w:spacing w:line="276" w:lineRule="auto"/>
        <w:ind w:right="104"/>
        <w:rPr>
          <w:b w:val="0"/>
        </w:rPr>
      </w:pPr>
      <w:r w:rsidRPr="007042AE">
        <w:rPr>
          <w:b w:val="0"/>
        </w:rPr>
        <w:t>Les entreprises ne sont pas demeurées inactives face aux enjeux</w:t>
      </w:r>
      <w:r w:rsidRPr="007042AE">
        <w:rPr>
          <w:b w:val="0"/>
        </w:rPr>
        <w:t xml:space="preserve"> </w:t>
      </w:r>
      <w:r w:rsidRPr="007042AE">
        <w:rPr>
          <w:b w:val="0"/>
        </w:rPr>
        <w:t>environnementaux. Alors que la RSE (Responsabilité sociale des entreprises) et le développement durable restent encore trop souvent l’apanage des grandes entreprises, il est d’autant plus positif de constater qu’en France, plus de la moitié</w:t>
      </w:r>
      <w:r w:rsidRPr="007042AE">
        <w:rPr>
          <w:b w:val="0"/>
        </w:rPr>
        <w:t xml:space="preserve"> </w:t>
      </w:r>
      <w:r w:rsidRPr="007042AE">
        <w:rPr>
          <w:b w:val="0"/>
        </w:rPr>
        <w:t>(56 %) des petites sociétés (10 à 49 salariés) s’impliquent dans la gestion économe des ressources et dans le recyclage des déchets. Les politiques environnementales sont favorables à la croissance et à la compétitivité, comme l’a rappelé le rapport Attali sur l’économie positive. Il rappelle notamment l’étude qui montre les nombreux bienfaits économiques que tirent les organisations qui préservent l’environnement : réduire la pollution peut diminuer les coûts ; adhérer à des standards environnementaux favorise l’innovation dans les procédés ; développer</w:t>
      </w:r>
      <w:r w:rsidRPr="007042AE">
        <w:rPr>
          <w:b w:val="0"/>
        </w:rPr>
        <w:t xml:space="preserve"> </w:t>
      </w:r>
      <w:r w:rsidRPr="007042AE">
        <w:rPr>
          <w:b w:val="0"/>
        </w:rPr>
        <w:t>des stratégies efficaces de gestion des ressources rares (eau, énergie) rassure les investisseurs (sécurité d’approvisionnement) ; la responsabilité sociale diminue les risques de sanctions coûteuses pour non-respect des règlements et de poursuites tout aussi coûteuses entamées par des clients insatisfaits ou par le gouvernement ;</w:t>
      </w:r>
      <w:r w:rsidRPr="007042AE">
        <w:rPr>
          <w:b w:val="0"/>
        </w:rPr>
        <w:t xml:space="preserve"> </w:t>
      </w:r>
      <w:r w:rsidRPr="007042AE">
        <w:rPr>
          <w:b w:val="0"/>
        </w:rPr>
        <w:t>le moral des employés est amélioré, ce qui les rend plus productifs ; l’entreprise devient attractive pour les jeunes talents et les fidélise ; enfin, la communauté fait davantage confiance à</w:t>
      </w:r>
      <w:r w:rsidRPr="007042AE">
        <w:rPr>
          <w:b w:val="0"/>
          <w:spacing w:val="-8"/>
        </w:rPr>
        <w:t xml:space="preserve"> </w:t>
      </w:r>
      <w:r w:rsidRPr="007042AE">
        <w:rPr>
          <w:b w:val="0"/>
        </w:rPr>
        <w:t>l’entreprise.</w:t>
      </w:r>
    </w:p>
    <w:p w:rsidR="00E21981" w:rsidRPr="00820514" w:rsidRDefault="00FA7D45" w:rsidP="00820514">
      <w:pPr>
        <w:jc w:val="right"/>
        <w:rPr>
          <w:rFonts w:cs="Tahoma"/>
          <w:b/>
          <w:szCs w:val="20"/>
        </w:rPr>
      </w:pPr>
      <w:r w:rsidRPr="00820514">
        <w:rPr>
          <w:rFonts w:eastAsia="Calibri" w:cs="Tahoma"/>
          <w:b/>
          <w:i/>
          <w:iCs/>
          <w:szCs w:val="20"/>
        </w:rPr>
        <w:t>D’après management-rse.com</w:t>
      </w:r>
    </w:p>
    <w:sectPr w:rsidR="00E21981" w:rsidRPr="00820514" w:rsidSect="00E21981">
      <w:footerReference w:type="default" r:id="rId13"/>
      <w:footerReference w:type="first" r:id="rId14"/>
      <w:type w:val="continuous"/>
      <w:pgSz w:w="11907" w:h="16839" w:code="9"/>
      <w:pgMar w:top="851" w:right="1275" w:bottom="720" w:left="1304" w:header="720" w:footer="57" w:gutter="0"/>
      <w:cols w:space="34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7B15" w:rsidRDefault="00287B15">
      <w:r>
        <w:separator/>
      </w:r>
    </w:p>
  </w:endnote>
  <w:endnote w:type="continuationSeparator" w:id="0">
    <w:p w:rsidR="00287B15" w:rsidRDefault="00287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NewRomanPS-Bold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514" w:rsidRPr="00121FFA" w:rsidRDefault="00820514" w:rsidP="00724916">
    <w:pPr>
      <w:pStyle w:val="Pieddepage"/>
      <w:jc w:val="right"/>
    </w:pPr>
    <w:r w:rsidRPr="00121FFA">
      <w:fldChar w:fldCharType="begin"/>
    </w:r>
    <w:r w:rsidRPr="00121FFA">
      <w:instrText xml:space="preserve"> PAGE   \* MERGEFORMAT </w:instrText>
    </w:r>
    <w:r w:rsidRPr="00121FFA">
      <w:fldChar w:fldCharType="separate"/>
    </w:r>
    <w:r>
      <w:rPr>
        <w:noProof/>
      </w:rPr>
      <w:t>1</w:t>
    </w:r>
    <w:r w:rsidRPr="00121FFA">
      <w:fldChar w:fldCharType="end"/>
    </w:r>
    <w:r w:rsidRPr="00121FFA">
      <w:t xml:space="preserve"> / </w:t>
    </w:r>
    <w:fldSimple w:instr=" NUMPAGES   \* MERGEFORMAT ">
      <w:r>
        <w:rPr>
          <w:noProof/>
        </w:rPr>
        <w:t>4</w:t>
      </w:r>
    </w:fldSimple>
  </w:p>
  <w:p w:rsidR="00820514" w:rsidRDefault="0082051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3344" w:rsidRPr="00121FFA" w:rsidRDefault="00593344" w:rsidP="00326045">
    <w:pPr>
      <w:pStyle w:val="Pieddepage"/>
      <w:jc w:val="right"/>
      <w:rPr>
        <w:rFonts w:cs="Tahoma"/>
        <w:szCs w:val="20"/>
      </w:rPr>
    </w:pPr>
    <w:r w:rsidRPr="00121FFA">
      <w:rPr>
        <w:rFonts w:cs="Tahoma"/>
        <w:szCs w:val="20"/>
      </w:rPr>
      <w:fldChar w:fldCharType="begin"/>
    </w:r>
    <w:r w:rsidRPr="00121FFA">
      <w:rPr>
        <w:rFonts w:cs="Tahoma"/>
        <w:szCs w:val="20"/>
      </w:rPr>
      <w:instrText xml:space="preserve"> PAGE   \* MERGEFORMAT </w:instrText>
    </w:r>
    <w:r w:rsidRPr="00121FFA">
      <w:rPr>
        <w:rFonts w:cs="Tahoma"/>
        <w:szCs w:val="20"/>
      </w:rPr>
      <w:fldChar w:fldCharType="separate"/>
    </w:r>
    <w:r w:rsidR="00BC1C7E">
      <w:rPr>
        <w:rFonts w:cs="Tahoma"/>
        <w:noProof/>
        <w:szCs w:val="20"/>
      </w:rPr>
      <w:t>2</w:t>
    </w:r>
    <w:r w:rsidRPr="00121FFA">
      <w:rPr>
        <w:rFonts w:cs="Tahoma"/>
        <w:szCs w:val="20"/>
      </w:rPr>
      <w:fldChar w:fldCharType="end"/>
    </w:r>
    <w:r w:rsidRPr="00121FFA">
      <w:rPr>
        <w:rFonts w:cs="Tahoma"/>
        <w:szCs w:val="20"/>
      </w:rPr>
      <w:t xml:space="preserve"> / </w:t>
    </w:r>
    <w:r w:rsidR="00287B15">
      <w:fldChar w:fldCharType="begin"/>
    </w:r>
    <w:r w:rsidR="00287B15">
      <w:instrText xml:space="preserve"> NUMPAGES   \* MERGEFORMAT </w:instrText>
    </w:r>
    <w:r w:rsidR="00287B15">
      <w:fldChar w:fldCharType="separate"/>
    </w:r>
    <w:r w:rsidR="00BC1C7E" w:rsidRPr="00BC1C7E">
      <w:rPr>
        <w:rFonts w:cs="Tahoma"/>
        <w:noProof/>
        <w:szCs w:val="20"/>
      </w:rPr>
      <w:t>2</w:t>
    </w:r>
    <w:r w:rsidR="00287B15">
      <w:rPr>
        <w:rFonts w:cs="Tahoma"/>
        <w:noProof/>
        <w:szCs w:val="20"/>
      </w:rPr>
      <w:fldChar w:fldCharType="end"/>
    </w:r>
  </w:p>
  <w:p w:rsidR="00593344" w:rsidRDefault="00593344">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514" w:rsidRPr="00121FFA" w:rsidRDefault="00820514" w:rsidP="00724916">
    <w:pPr>
      <w:pStyle w:val="Pieddepage"/>
      <w:jc w:val="right"/>
    </w:pPr>
    <w:r w:rsidRPr="00121FFA">
      <w:fldChar w:fldCharType="begin"/>
    </w:r>
    <w:r w:rsidRPr="00121FFA">
      <w:instrText xml:space="preserve"> PAGE   \* MERGEFORMAT </w:instrText>
    </w:r>
    <w:r w:rsidRPr="00121FFA">
      <w:fldChar w:fldCharType="separate"/>
    </w:r>
    <w:r>
      <w:rPr>
        <w:noProof/>
      </w:rPr>
      <w:t>4</w:t>
    </w:r>
    <w:r w:rsidRPr="00121FFA">
      <w:fldChar w:fldCharType="end"/>
    </w:r>
    <w:r w:rsidRPr="00121FFA">
      <w:t xml:space="preserve"> / </w:t>
    </w:r>
    <w:fldSimple w:instr=" NUMPAGES   \* MERGEFORMAT ">
      <w:r>
        <w:rPr>
          <w:noProof/>
        </w:rPr>
        <w:t>4</w:t>
      </w:r>
    </w:fldSimple>
  </w:p>
  <w:p w:rsidR="00C77538" w:rsidRDefault="00C7753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7B15" w:rsidRDefault="00287B15">
      <w:r>
        <w:separator/>
      </w:r>
    </w:p>
  </w:footnote>
  <w:footnote w:type="continuationSeparator" w:id="0">
    <w:p w:rsidR="00287B15" w:rsidRDefault="00287B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4429672"/>
    <w:lvl w:ilvl="0">
      <w:numFmt w:val="bullet"/>
      <w:lvlText w:val="*"/>
      <w:lvlJc w:val="left"/>
    </w:lvl>
  </w:abstractNum>
  <w:abstractNum w:abstractNumId="1" w15:restartNumberingAfterBreak="0">
    <w:nsid w:val="03185638"/>
    <w:multiLevelType w:val="singleLevel"/>
    <w:tmpl w:val="EBBC4BDA"/>
    <w:lvl w:ilvl="0">
      <w:start w:val="1"/>
      <w:numFmt w:val="decimal"/>
      <w:lvlText w:val="4.%1"/>
      <w:legacy w:legacy="1" w:legacySpace="0" w:legacyIndent="420"/>
      <w:lvlJc w:val="left"/>
      <w:rPr>
        <w:rFonts w:ascii="Times New Roman" w:hAnsi="Times New Roman" w:cs="Times New Roman" w:hint="default"/>
      </w:rPr>
    </w:lvl>
  </w:abstractNum>
  <w:abstractNum w:abstractNumId="2" w15:restartNumberingAfterBreak="0">
    <w:nsid w:val="057A5745"/>
    <w:multiLevelType w:val="hybridMultilevel"/>
    <w:tmpl w:val="8A3A337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77D6994"/>
    <w:multiLevelType w:val="hybridMultilevel"/>
    <w:tmpl w:val="3694543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82816DC"/>
    <w:multiLevelType w:val="hybridMultilevel"/>
    <w:tmpl w:val="40882BB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DB63D30"/>
    <w:multiLevelType w:val="hybridMultilevel"/>
    <w:tmpl w:val="48CE994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428073A"/>
    <w:multiLevelType w:val="singleLevel"/>
    <w:tmpl w:val="DF1CB26C"/>
    <w:lvl w:ilvl="0">
      <w:start w:val="1"/>
      <w:numFmt w:val="decimal"/>
      <w:lvlText w:val="%1."/>
      <w:legacy w:legacy="1" w:legacySpace="0" w:legacyIndent="489"/>
      <w:lvlJc w:val="left"/>
      <w:rPr>
        <w:rFonts w:ascii="Times New Roman" w:hAnsi="Times New Roman" w:cs="Times New Roman" w:hint="default"/>
      </w:rPr>
    </w:lvl>
  </w:abstractNum>
  <w:abstractNum w:abstractNumId="7" w15:restartNumberingAfterBreak="0">
    <w:nsid w:val="14861077"/>
    <w:multiLevelType w:val="singleLevel"/>
    <w:tmpl w:val="A87E8310"/>
    <w:lvl w:ilvl="0">
      <w:start w:val="1"/>
      <w:numFmt w:val="decimal"/>
      <w:lvlText w:val="%1."/>
      <w:legacy w:legacy="1" w:legacySpace="0" w:legacyIndent="419"/>
      <w:lvlJc w:val="left"/>
      <w:rPr>
        <w:rFonts w:ascii="Times New Roman" w:hAnsi="Times New Roman" w:cs="Times New Roman" w:hint="default"/>
      </w:rPr>
    </w:lvl>
  </w:abstractNum>
  <w:abstractNum w:abstractNumId="8" w15:restartNumberingAfterBreak="0">
    <w:nsid w:val="19E0629D"/>
    <w:multiLevelType w:val="hybridMultilevel"/>
    <w:tmpl w:val="CDAE2C6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A49244A"/>
    <w:multiLevelType w:val="hybridMultilevel"/>
    <w:tmpl w:val="F23A386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C3721FF"/>
    <w:multiLevelType w:val="hybridMultilevel"/>
    <w:tmpl w:val="5C8CDA0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4D11B1F"/>
    <w:multiLevelType w:val="hybridMultilevel"/>
    <w:tmpl w:val="45C62E2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5D75BCB"/>
    <w:multiLevelType w:val="singleLevel"/>
    <w:tmpl w:val="9BB628A8"/>
    <w:lvl w:ilvl="0">
      <w:start w:val="1"/>
      <w:numFmt w:val="decimal"/>
      <w:lvlText w:val="%1."/>
      <w:legacy w:legacy="1" w:legacySpace="0" w:legacyIndent="454"/>
      <w:lvlJc w:val="left"/>
      <w:rPr>
        <w:rFonts w:ascii="Times New Roman" w:hAnsi="Times New Roman" w:cs="Times New Roman" w:hint="default"/>
      </w:rPr>
    </w:lvl>
  </w:abstractNum>
  <w:abstractNum w:abstractNumId="13" w15:restartNumberingAfterBreak="0">
    <w:nsid w:val="2814337B"/>
    <w:multiLevelType w:val="singleLevel"/>
    <w:tmpl w:val="65FE515A"/>
    <w:lvl w:ilvl="0">
      <w:start w:val="1"/>
      <w:numFmt w:val="decimal"/>
      <w:lvlText w:val="1.%1"/>
      <w:legacy w:legacy="1" w:legacySpace="0" w:legacyIndent="378"/>
      <w:lvlJc w:val="left"/>
      <w:rPr>
        <w:rFonts w:ascii="Times New Roman" w:hAnsi="Times New Roman" w:cs="Times New Roman" w:hint="default"/>
      </w:rPr>
    </w:lvl>
  </w:abstractNum>
  <w:abstractNum w:abstractNumId="14" w15:restartNumberingAfterBreak="0">
    <w:nsid w:val="28C6709B"/>
    <w:multiLevelType w:val="hybridMultilevel"/>
    <w:tmpl w:val="8E20CD9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0EE5D52"/>
    <w:multiLevelType w:val="hybridMultilevel"/>
    <w:tmpl w:val="C09A7B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23D0501"/>
    <w:multiLevelType w:val="hybridMultilevel"/>
    <w:tmpl w:val="63647F34"/>
    <w:lvl w:ilvl="0" w:tplc="4F5A9854">
      <w:numFmt w:val="bullet"/>
      <w:lvlText w:val="-"/>
      <w:lvlJc w:val="left"/>
      <w:pPr>
        <w:ind w:left="720" w:hanging="360"/>
      </w:pPr>
      <w:rPr>
        <w:rFonts w:ascii="Tahoma" w:eastAsia="Times New Roman" w:hAnsi="Tahoma" w:cs="Tahoma"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90E1D2D"/>
    <w:multiLevelType w:val="singleLevel"/>
    <w:tmpl w:val="E63E83AC"/>
    <w:lvl w:ilvl="0">
      <w:start w:val="2"/>
      <w:numFmt w:val="decimal"/>
      <w:lvlText w:val="%1."/>
      <w:legacy w:legacy="1" w:legacySpace="0" w:legacyIndent="412"/>
      <w:lvlJc w:val="left"/>
      <w:rPr>
        <w:rFonts w:ascii="Times New Roman" w:hAnsi="Times New Roman" w:cs="Times New Roman" w:hint="default"/>
      </w:rPr>
    </w:lvl>
  </w:abstractNum>
  <w:abstractNum w:abstractNumId="18" w15:restartNumberingAfterBreak="0">
    <w:nsid w:val="3B630FB3"/>
    <w:multiLevelType w:val="singleLevel"/>
    <w:tmpl w:val="0BEEFAAC"/>
    <w:lvl w:ilvl="0">
      <w:start w:val="1"/>
      <w:numFmt w:val="decimal"/>
      <w:lvlText w:val="2.%1"/>
      <w:legacy w:legacy="1" w:legacySpace="0" w:legacyIndent="343"/>
      <w:lvlJc w:val="left"/>
      <w:rPr>
        <w:rFonts w:ascii="Times New Roman" w:hAnsi="Times New Roman" w:cs="Times New Roman" w:hint="default"/>
      </w:rPr>
    </w:lvl>
  </w:abstractNum>
  <w:abstractNum w:abstractNumId="19" w15:restartNumberingAfterBreak="0">
    <w:nsid w:val="3E7A0140"/>
    <w:multiLevelType w:val="hybridMultilevel"/>
    <w:tmpl w:val="49DC07B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2C95B6E"/>
    <w:multiLevelType w:val="singleLevel"/>
    <w:tmpl w:val="A87E8310"/>
    <w:lvl w:ilvl="0">
      <w:start w:val="1"/>
      <w:numFmt w:val="decimal"/>
      <w:lvlText w:val="%1."/>
      <w:legacy w:legacy="1" w:legacySpace="0" w:legacyIndent="419"/>
      <w:lvlJc w:val="left"/>
      <w:rPr>
        <w:rFonts w:ascii="Times New Roman" w:hAnsi="Times New Roman" w:cs="Times New Roman" w:hint="default"/>
      </w:rPr>
    </w:lvl>
  </w:abstractNum>
  <w:abstractNum w:abstractNumId="21" w15:restartNumberingAfterBreak="0">
    <w:nsid w:val="447C0C0E"/>
    <w:multiLevelType w:val="hybridMultilevel"/>
    <w:tmpl w:val="0C4E5E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B7633B3"/>
    <w:multiLevelType w:val="hybridMultilevel"/>
    <w:tmpl w:val="53B6F0E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CD6681B"/>
    <w:multiLevelType w:val="hybridMultilevel"/>
    <w:tmpl w:val="5192CE70"/>
    <w:lvl w:ilvl="0" w:tplc="01A09FC8">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4FC32875"/>
    <w:multiLevelType w:val="hybridMultilevel"/>
    <w:tmpl w:val="986863A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0DD61A2"/>
    <w:multiLevelType w:val="singleLevel"/>
    <w:tmpl w:val="A77246B8"/>
    <w:lvl w:ilvl="0">
      <w:start w:val="1"/>
      <w:numFmt w:val="decimal"/>
      <w:lvlText w:val="6.%1"/>
      <w:legacy w:legacy="1" w:legacySpace="0" w:legacyIndent="482"/>
      <w:lvlJc w:val="left"/>
      <w:rPr>
        <w:rFonts w:ascii="Times New Roman" w:hAnsi="Times New Roman" w:cs="Times New Roman" w:hint="default"/>
      </w:rPr>
    </w:lvl>
  </w:abstractNum>
  <w:abstractNum w:abstractNumId="26" w15:restartNumberingAfterBreak="0">
    <w:nsid w:val="5212421C"/>
    <w:multiLevelType w:val="hybridMultilevel"/>
    <w:tmpl w:val="DE1C6742"/>
    <w:lvl w:ilvl="0" w:tplc="C66A4E10">
      <w:start w:val="1"/>
      <w:numFmt w:val="lowerLetter"/>
      <w:pStyle w:val="Lettres"/>
      <w:lvlText w:val="%1."/>
      <w:lvlJc w:val="left"/>
      <w:pPr>
        <w:ind w:left="1068" w:hanging="360"/>
      </w:pPr>
      <w:rPr>
        <w:rFonts w:cs="Times New Roman"/>
      </w:rPr>
    </w:lvl>
    <w:lvl w:ilvl="1" w:tplc="040C0019" w:tentative="1">
      <w:start w:val="1"/>
      <w:numFmt w:val="lowerLetter"/>
      <w:lvlText w:val="%2."/>
      <w:lvlJc w:val="left"/>
      <w:pPr>
        <w:ind w:left="1788" w:hanging="360"/>
      </w:pPr>
      <w:rPr>
        <w:rFonts w:cs="Times New Roman"/>
      </w:rPr>
    </w:lvl>
    <w:lvl w:ilvl="2" w:tplc="040C001B" w:tentative="1">
      <w:start w:val="1"/>
      <w:numFmt w:val="lowerRoman"/>
      <w:lvlText w:val="%3."/>
      <w:lvlJc w:val="right"/>
      <w:pPr>
        <w:ind w:left="2508" w:hanging="180"/>
      </w:pPr>
      <w:rPr>
        <w:rFonts w:cs="Times New Roman"/>
      </w:rPr>
    </w:lvl>
    <w:lvl w:ilvl="3" w:tplc="040C000F" w:tentative="1">
      <w:start w:val="1"/>
      <w:numFmt w:val="decimal"/>
      <w:lvlText w:val="%4."/>
      <w:lvlJc w:val="left"/>
      <w:pPr>
        <w:ind w:left="3228" w:hanging="360"/>
      </w:pPr>
      <w:rPr>
        <w:rFonts w:cs="Times New Roman"/>
      </w:rPr>
    </w:lvl>
    <w:lvl w:ilvl="4" w:tplc="040C0019" w:tentative="1">
      <w:start w:val="1"/>
      <w:numFmt w:val="lowerLetter"/>
      <w:lvlText w:val="%5."/>
      <w:lvlJc w:val="left"/>
      <w:pPr>
        <w:ind w:left="3948" w:hanging="360"/>
      </w:pPr>
      <w:rPr>
        <w:rFonts w:cs="Times New Roman"/>
      </w:rPr>
    </w:lvl>
    <w:lvl w:ilvl="5" w:tplc="040C001B" w:tentative="1">
      <w:start w:val="1"/>
      <w:numFmt w:val="lowerRoman"/>
      <w:lvlText w:val="%6."/>
      <w:lvlJc w:val="right"/>
      <w:pPr>
        <w:ind w:left="4668" w:hanging="180"/>
      </w:pPr>
      <w:rPr>
        <w:rFonts w:cs="Times New Roman"/>
      </w:rPr>
    </w:lvl>
    <w:lvl w:ilvl="6" w:tplc="040C000F" w:tentative="1">
      <w:start w:val="1"/>
      <w:numFmt w:val="decimal"/>
      <w:lvlText w:val="%7."/>
      <w:lvlJc w:val="left"/>
      <w:pPr>
        <w:ind w:left="5388" w:hanging="360"/>
      </w:pPr>
      <w:rPr>
        <w:rFonts w:cs="Times New Roman"/>
      </w:rPr>
    </w:lvl>
    <w:lvl w:ilvl="7" w:tplc="040C0019" w:tentative="1">
      <w:start w:val="1"/>
      <w:numFmt w:val="lowerLetter"/>
      <w:lvlText w:val="%8."/>
      <w:lvlJc w:val="left"/>
      <w:pPr>
        <w:ind w:left="6108" w:hanging="360"/>
      </w:pPr>
      <w:rPr>
        <w:rFonts w:cs="Times New Roman"/>
      </w:rPr>
    </w:lvl>
    <w:lvl w:ilvl="8" w:tplc="040C001B" w:tentative="1">
      <w:start w:val="1"/>
      <w:numFmt w:val="lowerRoman"/>
      <w:lvlText w:val="%9."/>
      <w:lvlJc w:val="right"/>
      <w:pPr>
        <w:ind w:left="6828" w:hanging="180"/>
      </w:pPr>
      <w:rPr>
        <w:rFonts w:cs="Times New Roman"/>
      </w:rPr>
    </w:lvl>
  </w:abstractNum>
  <w:abstractNum w:abstractNumId="27" w15:restartNumberingAfterBreak="0">
    <w:nsid w:val="59217D03"/>
    <w:multiLevelType w:val="hybridMultilevel"/>
    <w:tmpl w:val="689A6778"/>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A344941"/>
    <w:multiLevelType w:val="hybridMultilevel"/>
    <w:tmpl w:val="F43E9720"/>
    <w:lvl w:ilvl="0" w:tplc="040C000F">
      <w:start w:val="1"/>
      <w:numFmt w:val="decimal"/>
      <w:lvlText w:val="%1."/>
      <w:lvlJc w:val="left"/>
      <w:pPr>
        <w:ind w:left="720" w:hanging="360"/>
      </w:pPr>
    </w:lvl>
    <w:lvl w:ilvl="1" w:tplc="CC4C197A">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BB447B1"/>
    <w:multiLevelType w:val="multilevel"/>
    <w:tmpl w:val="3CA01A18"/>
    <w:lvl w:ilvl="0">
      <w:start w:val="1"/>
      <w:numFmt w:val="decimal"/>
      <w:pStyle w:val="Questions"/>
      <w:lvlText w:val="%1."/>
      <w:lvlJc w:val="left"/>
      <w:pPr>
        <w:ind w:left="720" w:hanging="360"/>
      </w:pPr>
      <w:rPr>
        <w:rFonts w:cs="Times New Roman" w:hint="default"/>
      </w:rPr>
    </w:lvl>
    <w:lvl w:ilvl="1">
      <w:start w:val="1"/>
      <w:numFmt w:val="decimal"/>
      <w:isLgl/>
      <w:lvlText w:val="%1.%2"/>
      <w:lvlJc w:val="left"/>
      <w:pPr>
        <w:ind w:left="1425" w:hanging="720"/>
      </w:pPr>
      <w:rPr>
        <w:rFonts w:cs="Times New Roman" w:hint="default"/>
      </w:rPr>
    </w:lvl>
    <w:lvl w:ilvl="2">
      <w:start w:val="1"/>
      <w:numFmt w:val="decimal"/>
      <w:isLgl/>
      <w:lvlText w:val="%1.%2.%3"/>
      <w:lvlJc w:val="left"/>
      <w:pPr>
        <w:ind w:left="1770" w:hanging="720"/>
      </w:pPr>
      <w:rPr>
        <w:rFonts w:cs="Times New Roman" w:hint="default"/>
      </w:rPr>
    </w:lvl>
    <w:lvl w:ilvl="3">
      <w:start w:val="1"/>
      <w:numFmt w:val="decimal"/>
      <w:isLgl/>
      <w:lvlText w:val="%1.%2.%3.%4"/>
      <w:lvlJc w:val="left"/>
      <w:pPr>
        <w:ind w:left="2475" w:hanging="1080"/>
      </w:pPr>
      <w:rPr>
        <w:rFonts w:cs="Times New Roman" w:hint="default"/>
      </w:rPr>
    </w:lvl>
    <w:lvl w:ilvl="4">
      <w:start w:val="1"/>
      <w:numFmt w:val="decimal"/>
      <w:isLgl/>
      <w:lvlText w:val="%1.%2.%3.%4.%5"/>
      <w:lvlJc w:val="left"/>
      <w:pPr>
        <w:ind w:left="2820" w:hanging="1080"/>
      </w:pPr>
      <w:rPr>
        <w:rFonts w:cs="Times New Roman" w:hint="default"/>
      </w:rPr>
    </w:lvl>
    <w:lvl w:ilvl="5">
      <w:start w:val="1"/>
      <w:numFmt w:val="decimal"/>
      <w:isLgl/>
      <w:lvlText w:val="%1.%2.%3.%4.%5.%6"/>
      <w:lvlJc w:val="left"/>
      <w:pPr>
        <w:ind w:left="3525" w:hanging="1440"/>
      </w:pPr>
      <w:rPr>
        <w:rFonts w:cs="Times New Roman" w:hint="default"/>
      </w:rPr>
    </w:lvl>
    <w:lvl w:ilvl="6">
      <w:start w:val="1"/>
      <w:numFmt w:val="decimal"/>
      <w:isLgl/>
      <w:lvlText w:val="%1.%2.%3.%4.%5.%6.%7"/>
      <w:lvlJc w:val="left"/>
      <w:pPr>
        <w:ind w:left="4230" w:hanging="1800"/>
      </w:pPr>
      <w:rPr>
        <w:rFonts w:cs="Times New Roman" w:hint="default"/>
      </w:rPr>
    </w:lvl>
    <w:lvl w:ilvl="7">
      <w:start w:val="1"/>
      <w:numFmt w:val="decimal"/>
      <w:isLgl/>
      <w:lvlText w:val="%1.%2.%3.%4.%5.%6.%7.%8"/>
      <w:lvlJc w:val="left"/>
      <w:pPr>
        <w:ind w:left="4575" w:hanging="1800"/>
      </w:pPr>
      <w:rPr>
        <w:rFonts w:cs="Times New Roman" w:hint="default"/>
      </w:rPr>
    </w:lvl>
    <w:lvl w:ilvl="8">
      <w:start w:val="1"/>
      <w:numFmt w:val="decimal"/>
      <w:isLgl/>
      <w:lvlText w:val="%1.%2.%3.%4.%5.%6.%7.%8.%9"/>
      <w:lvlJc w:val="left"/>
      <w:pPr>
        <w:ind w:left="5280" w:hanging="2160"/>
      </w:pPr>
      <w:rPr>
        <w:rFonts w:cs="Times New Roman" w:hint="default"/>
      </w:rPr>
    </w:lvl>
  </w:abstractNum>
  <w:abstractNum w:abstractNumId="30" w15:restartNumberingAfterBreak="0">
    <w:nsid w:val="5F50591D"/>
    <w:multiLevelType w:val="singleLevel"/>
    <w:tmpl w:val="14A08C0E"/>
    <w:lvl w:ilvl="0">
      <w:start w:val="1"/>
      <w:numFmt w:val="decimal"/>
      <w:lvlText w:val="1.%1"/>
      <w:legacy w:legacy="1" w:legacySpace="0" w:legacyIndent="406"/>
      <w:lvlJc w:val="left"/>
      <w:rPr>
        <w:rFonts w:ascii="Times New Roman" w:hAnsi="Times New Roman" w:cs="Times New Roman" w:hint="default"/>
      </w:rPr>
    </w:lvl>
  </w:abstractNum>
  <w:abstractNum w:abstractNumId="31" w15:restartNumberingAfterBreak="0">
    <w:nsid w:val="6791782A"/>
    <w:multiLevelType w:val="hybridMultilevel"/>
    <w:tmpl w:val="F098C0C4"/>
    <w:lvl w:ilvl="0" w:tplc="040C000F">
      <w:start w:val="1"/>
      <w:numFmt w:val="decimal"/>
      <w:lvlText w:val="%1."/>
      <w:lvlJc w:val="left"/>
      <w:pPr>
        <w:ind w:left="720" w:hanging="360"/>
      </w:pPr>
      <w:rPr>
        <w:rFonts w:hint="default"/>
      </w:rPr>
    </w:lvl>
    <w:lvl w:ilvl="1" w:tplc="D8FE0694">
      <w:start w:val="5"/>
      <w:numFmt w:val="bullet"/>
      <w:lvlText w:val="-"/>
      <w:lvlJc w:val="left"/>
      <w:pPr>
        <w:ind w:left="1440" w:hanging="360"/>
      </w:pPr>
      <w:rPr>
        <w:rFonts w:ascii="Tahoma" w:eastAsia="Calibri" w:hAnsi="Tahoma" w:cs="Tahoma"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681828A5"/>
    <w:multiLevelType w:val="hybridMultilevel"/>
    <w:tmpl w:val="130ADF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BFC675A"/>
    <w:multiLevelType w:val="hybridMultilevel"/>
    <w:tmpl w:val="14CE73A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6DF80A6D"/>
    <w:multiLevelType w:val="hybridMultilevel"/>
    <w:tmpl w:val="A3CA2BD4"/>
    <w:lvl w:ilvl="0" w:tplc="ABAC6CCC">
      <w:start w:val="1"/>
      <w:numFmt w:val="decimal"/>
      <w:pStyle w:val="QuestionsMana"/>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5" w15:restartNumberingAfterBreak="0">
    <w:nsid w:val="75075726"/>
    <w:multiLevelType w:val="hybridMultilevel"/>
    <w:tmpl w:val="A58ECF0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75E354DA"/>
    <w:multiLevelType w:val="hybridMultilevel"/>
    <w:tmpl w:val="093EDA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76BD766F"/>
    <w:multiLevelType w:val="hybridMultilevel"/>
    <w:tmpl w:val="CA3039A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6"/>
  </w:num>
  <w:num w:numId="2">
    <w:abstractNumId w:val="29"/>
  </w:num>
  <w:num w:numId="3">
    <w:abstractNumId w:val="34"/>
  </w:num>
  <w:num w:numId="4">
    <w:abstractNumId w:val="21"/>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7"/>
  </w:num>
  <w:num w:numId="8">
    <w:abstractNumId w:val="31"/>
  </w:num>
  <w:num w:numId="9">
    <w:abstractNumId w:val="28"/>
  </w:num>
  <w:num w:numId="10">
    <w:abstractNumId w:val="3"/>
  </w:num>
  <w:num w:numId="11">
    <w:abstractNumId w:val="37"/>
  </w:num>
  <w:num w:numId="12">
    <w:abstractNumId w:val="5"/>
  </w:num>
  <w:num w:numId="13">
    <w:abstractNumId w:val="33"/>
  </w:num>
  <w:num w:numId="14">
    <w:abstractNumId w:val="8"/>
  </w:num>
  <w:num w:numId="15">
    <w:abstractNumId w:val="2"/>
  </w:num>
  <w:num w:numId="16">
    <w:abstractNumId w:val="35"/>
  </w:num>
  <w:num w:numId="17">
    <w:abstractNumId w:val="11"/>
  </w:num>
  <w:num w:numId="18">
    <w:abstractNumId w:val="19"/>
  </w:num>
  <w:num w:numId="19">
    <w:abstractNumId w:val="22"/>
  </w:num>
  <w:num w:numId="20">
    <w:abstractNumId w:val="30"/>
  </w:num>
  <w:num w:numId="21">
    <w:abstractNumId w:val="30"/>
    <w:lvlOverride w:ilvl="0">
      <w:lvl w:ilvl="0">
        <w:start w:val="1"/>
        <w:numFmt w:val="decimal"/>
        <w:lvlText w:val="1.%1"/>
        <w:legacy w:legacy="1" w:legacySpace="0" w:legacyIndent="405"/>
        <w:lvlJc w:val="left"/>
        <w:rPr>
          <w:rFonts w:ascii="Times New Roman" w:hAnsi="Times New Roman" w:cs="Times New Roman" w:hint="default"/>
        </w:rPr>
      </w:lvl>
    </w:lvlOverride>
  </w:num>
  <w:num w:numId="22">
    <w:abstractNumId w:val="17"/>
  </w:num>
  <w:num w:numId="23">
    <w:abstractNumId w:val="1"/>
  </w:num>
  <w:num w:numId="24">
    <w:abstractNumId w:val="13"/>
  </w:num>
  <w:num w:numId="25">
    <w:abstractNumId w:val="18"/>
  </w:num>
  <w:num w:numId="26">
    <w:abstractNumId w:val="7"/>
  </w:num>
  <w:num w:numId="27">
    <w:abstractNumId w:val="25"/>
  </w:num>
  <w:num w:numId="28">
    <w:abstractNumId w:val="25"/>
    <w:lvlOverride w:ilvl="0">
      <w:lvl w:ilvl="0">
        <w:start w:val="1"/>
        <w:numFmt w:val="decimal"/>
        <w:lvlText w:val="6.%1"/>
        <w:legacy w:legacy="1" w:legacySpace="0" w:legacyIndent="483"/>
        <w:lvlJc w:val="left"/>
        <w:rPr>
          <w:rFonts w:ascii="Times New Roman" w:hAnsi="Times New Roman" w:cs="Times New Roman" w:hint="default"/>
        </w:rPr>
      </w:lvl>
    </w:lvlOverride>
  </w:num>
  <w:num w:numId="29">
    <w:abstractNumId w:val="20"/>
  </w:num>
  <w:num w:numId="30">
    <w:abstractNumId w:val="0"/>
    <w:lvlOverride w:ilvl="0">
      <w:lvl w:ilvl="0">
        <w:start w:val="65535"/>
        <w:numFmt w:val="bullet"/>
        <w:lvlText w:val="-"/>
        <w:legacy w:legacy="1" w:legacySpace="0" w:legacyIndent="412"/>
        <w:lvlJc w:val="left"/>
        <w:rPr>
          <w:rFonts w:ascii="Times New Roman" w:hAnsi="Times New Roman" w:cs="Times New Roman" w:hint="default"/>
        </w:rPr>
      </w:lvl>
    </w:lvlOverride>
  </w:num>
  <w:num w:numId="31">
    <w:abstractNumId w:val="6"/>
  </w:num>
  <w:num w:numId="32">
    <w:abstractNumId w:val="12"/>
  </w:num>
  <w:num w:numId="33">
    <w:abstractNumId w:val="36"/>
  </w:num>
  <w:num w:numId="34">
    <w:abstractNumId w:val="9"/>
  </w:num>
  <w:num w:numId="35">
    <w:abstractNumId w:val="10"/>
  </w:num>
  <w:num w:numId="36">
    <w:abstractNumId w:val="14"/>
  </w:num>
  <w:num w:numId="37">
    <w:abstractNumId w:val="24"/>
  </w:num>
  <w:num w:numId="38">
    <w:abstractNumId w:val="16"/>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num>
  <w:num w:numId="43">
    <w:abstractNumId w:val="23"/>
  </w:num>
  <w:num w:numId="44">
    <w:abstractNumId w:val="3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linkStyles/>
  <w:doNotTrackMoves/>
  <w:defaultTabStop w:val="720"/>
  <w:hyphenationZone w:val="425"/>
  <w:drawingGridHorizontalSpacing w:val="12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B7D03"/>
    <w:rsid w:val="00000C34"/>
    <w:rsid w:val="00011855"/>
    <w:rsid w:val="00017320"/>
    <w:rsid w:val="00022163"/>
    <w:rsid w:val="000226B6"/>
    <w:rsid w:val="00024704"/>
    <w:rsid w:val="00024D3A"/>
    <w:rsid w:val="0002743B"/>
    <w:rsid w:val="0003239D"/>
    <w:rsid w:val="00033B12"/>
    <w:rsid w:val="00034F68"/>
    <w:rsid w:val="00035182"/>
    <w:rsid w:val="0004011A"/>
    <w:rsid w:val="0005133F"/>
    <w:rsid w:val="00051D76"/>
    <w:rsid w:val="00056142"/>
    <w:rsid w:val="00056590"/>
    <w:rsid w:val="000628DC"/>
    <w:rsid w:val="00064181"/>
    <w:rsid w:val="00076385"/>
    <w:rsid w:val="0007702E"/>
    <w:rsid w:val="000824A8"/>
    <w:rsid w:val="00085F83"/>
    <w:rsid w:val="00085F8D"/>
    <w:rsid w:val="00097589"/>
    <w:rsid w:val="000A1A27"/>
    <w:rsid w:val="000A3DE1"/>
    <w:rsid w:val="000A3EF8"/>
    <w:rsid w:val="000A5A35"/>
    <w:rsid w:val="000B0A68"/>
    <w:rsid w:val="000B1216"/>
    <w:rsid w:val="000B44C6"/>
    <w:rsid w:val="000B5595"/>
    <w:rsid w:val="000B62CF"/>
    <w:rsid w:val="000C0014"/>
    <w:rsid w:val="000C2DEE"/>
    <w:rsid w:val="000C690F"/>
    <w:rsid w:val="000D0F81"/>
    <w:rsid w:val="000D3881"/>
    <w:rsid w:val="000E15E4"/>
    <w:rsid w:val="000E1DE8"/>
    <w:rsid w:val="000E4AB0"/>
    <w:rsid w:val="000E6C2A"/>
    <w:rsid w:val="000F369A"/>
    <w:rsid w:val="000F444B"/>
    <w:rsid w:val="001007D5"/>
    <w:rsid w:val="0010328E"/>
    <w:rsid w:val="00110B0A"/>
    <w:rsid w:val="001117AF"/>
    <w:rsid w:val="001136FC"/>
    <w:rsid w:val="00115F59"/>
    <w:rsid w:val="00131673"/>
    <w:rsid w:val="00132E0C"/>
    <w:rsid w:val="0013582C"/>
    <w:rsid w:val="00143401"/>
    <w:rsid w:val="00147C3B"/>
    <w:rsid w:val="00151280"/>
    <w:rsid w:val="00152A39"/>
    <w:rsid w:val="001552F1"/>
    <w:rsid w:val="001634D5"/>
    <w:rsid w:val="00171868"/>
    <w:rsid w:val="00173A8F"/>
    <w:rsid w:val="00173FBB"/>
    <w:rsid w:val="00176CEE"/>
    <w:rsid w:val="00194D11"/>
    <w:rsid w:val="00196D0C"/>
    <w:rsid w:val="001B26C7"/>
    <w:rsid w:val="001C3896"/>
    <w:rsid w:val="001C4DE2"/>
    <w:rsid w:val="001D00DB"/>
    <w:rsid w:val="001D54FE"/>
    <w:rsid w:val="001E0099"/>
    <w:rsid w:val="001E2FEB"/>
    <w:rsid w:val="001F0954"/>
    <w:rsid w:val="001F27F5"/>
    <w:rsid w:val="001F5BED"/>
    <w:rsid w:val="001F68D5"/>
    <w:rsid w:val="00203AA3"/>
    <w:rsid w:val="002109DF"/>
    <w:rsid w:val="002213AC"/>
    <w:rsid w:val="00224CB7"/>
    <w:rsid w:val="00231010"/>
    <w:rsid w:val="0023608D"/>
    <w:rsid w:val="00242EE7"/>
    <w:rsid w:val="00243C4C"/>
    <w:rsid w:val="002607BF"/>
    <w:rsid w:val="0026275E"/>
    <w:rsid w:val="00262FB4"/>
    <w:rsid w:val="00263ACF"/>
    <w:rsid w:val="002653AA"/>
    <w:rsid w:val="0027251F"/>
    <w:rsid w:val="002816B4"/>
    <w:rsid w:val="002828BF"/>
    <w:rsid w:val="00287B15"/>
    <w:rsid w:val="00287F0F"/>
    <w:rsid w:val="002B7D15"/>
    <w:rsid w:val="002C45F5"/>
    <w:rsid w:val="002C59E4"/>
    <w:rsid w:val="002D260F"/>
    <w:rsid w:val="002D51ED"/>
    <w:rsid w:val="002D60B7"/>
    <w:rsid w:val="002F0055"/>
    <w:rsid w:val="002F0931"/>
    <w:rsid w:val="002F1370"/>
    <w:rsid w:val="002F2384"/>
    <w:rsid w:val="00306605"/>
    <w:rsid w:val="00307299"/>
    <w:rsid w:val="003119A6"/>
    <w:rsid w:val="0031476C"/>
    <w:rsid w:val="00316E79"/>
    <w:rsid w:val="003177BF"/>
    <w:rsid w:val="00322540"/>
    <w:rsid w:val="00326045"/>
    <w:rsid w:val="00326558"/>
    <w:rsid w:val="00327D2E"/>
    <w:rsid w:val="00332FD3"/>
    <w:rsid w:val="00340116"/>
    <w:rsid w:val="00340C0E"/>
    <w:rsid w:val="00343FC2"/>
    <w:rsid w:val="003516FB"/>
    <w:rsid w:val="00356FCF"/>
    <w:rsid w:val="0036168E"/>
    <w:rsid w:val="00363119"/>
    <w:rsid w:val="003644B2"/>
    <w:rsid w:val="00365F6B"/>
    <w:rsid w:val="00370E1E"/>
    <w:rsid w:val="00372407"/>
    <w:rsid w:val="003736A6"/>
    <w:rsid w:val="0037421A"/>
    <w:rsid w:val="00393FB8"/>
    <w:rsid w:val="00394DA8"/>
    <w:rsid w:val="00396B74"/>
    <w:rsid w:val="003C0544"/>
    <w:rsid w:val="003C06CC"/>
    <w:rsid w:val="003C323B"/>
    <w:rsid w:val="003D11EE"/>
    <w:rsid w:val="003D445D"/>
    <w:rsid w:val="003D75F8"/>
    <w:rsid w:val="003F1E36"/>
    <w:rsid w:val="003F6D98"/>
    <w:rsid w:val="00405B8D"/>
    <w:rsid w:val="00406A8F"/>
    <w:rsid w:val="00413FB6"/>
    <w:rsid w:val="00434058"/>
    <w:rsid w:val="0043538C"/>
    <w:rsid w:val="00436230"/>
    <w:rsid w:val="004407D5"/>
    <w:rsid w:val="004651A0"/>
    <w:rsid w:val="00467E59"/>
    <w:rsid w:val="0047522B"/>
    <w:rsid w:val="00475BE4"/>
    <w:rsid w:val="00483B14"/>
    <w:rsid w:val="00490C28"/>
    <w:rsid w:val="004915BB"/>
    <w:rsid w:val="004A6B1A"/>
    <w:rsid w:val="004B4D1E"/>
    <w:rsid w:val="004D4677"/>
    <w:rsid w:val="004E098B"/>
    <w:rsid w:val="004E0DEA"/>
    <w:rsid w:val="004F3F09"/>
    <w:rsid w:val="00512429"/>
    <w:rsid w:val="005135F3"/>
    <w:rsid w:val="0052052D"/>
    <w:rsid w:val="00521E30"/>
    <w:rsid w:val="00535C75"/>
    <w:rsid w:val="00541538"/>
    <w:rsid w:val="00554AEC"/>
    <w:rsid w:val="005610F6"/>
    <w:rsid w:val="005618C8"/>
    <w:rsid w:val="005631AE"/>
    <w:rsid w:val="0056522C"/>
    <w:rsid w:val="00571BF2"/>
    <w:rsid w:val="00571C5F"/>
    <w:rsid w:val="00574ADE"/>
    <w:rsid w:val="00576E27"/>
    <w:rsid w:val="0058204A"/>
    <w:rsid w:val="0058245D"/>
    <w:rsid w:val="00584008"/>
    <w:rsid w:val="005840CE"/>
    <w:rsid w:val="005854EF"/>
    <w:rsid w:val="00586F33"/>
    <w:rsid w:val="005923F5"/>
    <w:rsid w:val="005931E7"/>
    <w:rsid w:val="00593344"/>
    <w:rsid w:val="00595D68"/>
    <w:rsid w:val="005963EF"/>
    <w:rsid w:val="005A34B4"/>
    <w:rsid w:val="005A460B"/>
    <w:rsid w:val="005A4740"/>
    <w:rsid w:val="005A6DDF"/>
    <w:rsid w:val="005A75F8"/>
    <w:rsid w:val="005B4464"/>
    <w:rsid w:val="005B7300"/>
    <w:rsid w:val="005C2198"/>
    <w:rsid w:val="005C4E9D"/>
    <w:rsid w:val="005E08F3"/>
    <w:rsid w:val="005E31E6"/>
    <w:rsid w:val="005F37A8"/>
    <w:rsid w:val="0060681E"/>
    <w:rsid w:val="00613709"/>
    <w:rsid w:val="00613DE7"/>
    <w:rsid w:val="00615A5B"/>
    <w:rsid w:val="0061701A"/>
    <w:rsid w:val="006272F3"/>
    <w:rsid w:val="00642477"/>
    <w:rsid w:val="00643A2E"/>
    <w:rsid w:val="006546C7"/>
    <w:rsid w:val="006624C9"/>
    <w:rsid w:val="00665623"/>
    <w:rsid w:val="006705E7"/>
    <w:rsid w:val="00685EE9"/>
    <w:rsid w:val="00687087"/>
    <w:rsid w:val="00693449"/>
    <w:rsid w:val="006B07AC"/>
    <w:rsid w:val="006B17F1"/>
    <w:rsid w:val="006B785F"/>
    <w:rsid w:val="006E16D7"/>
    <w:rsid w:val="006F3381"/>
    <w:rsid w:val="0070392C"/>
    <w:rsid w:val="007042AE"/>
    <w:rsid w:val="0070579E"/>
    <w:rsid w:val="00711887"/>
    <w:rsid w:val="00712F6F"/>
    <w:rsid w:val="007138AE"/>
    <w:rsid w:val="0071418A"/>
    <w:rsid w:val="007329C5"/>
    <w:rsid w:val="007461A6"/>
    <w:rsid w:val="00747938"/>
    <w:rsid w:val="0075012A"/>
    <w:rsid w:val="0075737E"/>
    <w:rsid w:val="00762339"/>
    <w:rsid w:val="00762C02"/>
    <w:rsid w:val="00763B2C"/>
    <w:rsid w:val="007815CB"/>
    <w:rsid w:val="0078439A"/>
    <w:rsid w:val="007903BF"/>
    <w:rsid w:val="007947F9"/>
    <w:rsid w:val="00796B3D"/>
    <w:rsid w:val="00797E8E"/>
    <w:rsid w:val="007A4696"/>
    <w:rsid w:val="007B1213"/>
    <w:rsid w:val="007C3CB3"/>
    <w:rsid w:val="007C79B4"/>
    <w:rsid w:val="007D4954"/>
    <w:rsid w:val="007E108C"/>
    <w:rsid w:val="007E3BB8"/>
    <w:rsid w:val="007E6147"/>
    <w:rsid w:val="007E6242"/>
    <w:rsid w:val="00802248"/>
    <w:rsid w:val="008052C0"/>
    <w:rsid w:val="00814122"/>
    <w:rsid w:val="00815FAE"/>
    <w:rsid w:val="00816CD1"/>
    <w:rsid w:val="00820514"/>
    <w:rsid w:val="00820E88"/>
    <w:rsid w:val="00826FEE"/>
    <w:rsid w:val="00840FD6"/>
    <w:rsid w:val="00843E1D"/>
    <w:rsid w:val="00845186"/>
    <w:rsid w:val="00854108"/>
    <w:rsid w:val="00855CB3"/>
    <w:rsid w:val="00871214"/>
    <w:rsid w:val="008734D5"/>
    <w:rsid w:val="00880EA0"/>
    <w:rsid w:val="008B71DD"/>
    <w:rsid w:val="008C03CA"/>
    <w:rsid w:val="008C17C6"/>
    <w:rsid w:val="008C2B45"/>
    <w:rsid w:val="008C5BDD"/>
    <w:rsid w:val="008C5DA6"/>
    <w:rsid w:val="008C66B1"/>
    <w:rsid w:val="008D2A74"/>
    <w:rsid w:val="008D3DE5"/>
    <w:rsid w:val="008D442D"/>
    <w:rsid w:val="008E0FDD"/>
    <w:rsid w:val="008E324E"/>
    <w:rsid w:val="008E796D"/>
    <w:rsid w:val="008F07DB"/>
    <w:rsid w:val="008F1344"/>
    <w:rsid w:val="008F3652"/>
    <w:rsid w:val="008F529C"/>
    <w:rsid w:val="008F7F9E"/>
    <w:rsid w:val="009043AB"/>
    <w:rsid w:val="009071A1"/>
    <w:rsid w:val="00911713"/>
    <w:rsid w:val="0091613C"/>
    <w:rsid w:val="00923F61"/>
    <w:rsid w:val="009368C8"/>
    <w:rsid w:val="00936EE1"/>
    <w:rsid w:val="00946D56"/>
    <w:rsid w:val="009517D6"/>
    <w:rsid w:val="0095516B"/>
    <w:rsid w:val="00962441"/>
    <w:rsid w:val="00972C62"/>
    <w:rsid w:val="009A34EF"/>
    <w:rsid w:val="009A45BB"/>
    <w:rsid w:val="009A45F3"/>
    <w:rsid w:val="009B23B4"/>
    <w:rsid w:val="009B36F5"/>
    <w:rsid w:val="009B4741"/>
    <w:rsid w:val="009B5A3D"/>
    <w:rsid w:val="009B6882"/>
    <w:rsid w:val="009C0B89"/>
    <w:rsid w:val="009D2F18"/>
    <w:rsid w:val="009E21A2"/>
    <w:rsid w:val="009E4053"/>
    <w:rsid w:val="009F4672"/>
    <w:rsid w:val="009F545F"/>
    <w:rsid w:val="009F650D"/>
    <w:rsid w:val="009F726C"/>
    <w:rsid w:val="009F7CF8"/>
    <w:rsid w:val="009F7DDF"/>
    <w:rsid w:val="00A00AE2"/>
    <w:rsid w:val="00A01C7E"/>
    <w:rsid w:val="00A0758E"/>
    <w:rsid w:val="00A076F6"/>
    <w:rsid w:val="00A112A5"/>
    <w:rsid w:val="00A20E4D"/>
    <w:rsid w:val="00A33796"/>
    <w:rsid w:val="00A34747"/>
    <w:rsid w:val="00A34B35"/>
    <w:rsid w:val="00A372A6"/>
    <w:rsid w:val="00A41281"/>
    <w:rsid w:val="00A46207"/>
    <w:rsid w:val="00A74FFD"/>
    <w:rsid w:val="00A77838"/>
    <w:rsid w:val="00A848DA"/>
    <w:rsid w:val="00A871B0"/>
    <w:rsid w:val="00A87410"/>
    <w:rsid w:val="00AA1EB3"/>
    <w:rsid w:val="00AB2B5C"/>
    <w:rsid w:val="00AB3C3E"/>
    <w:rsid w:val="00AB3C58"/>
    <w:rsid w:val="00AB649A"/>
    <w:rsid w:val="00AB6774"/>
    <w:rsid w:val="00AC4500"/>
    <w:rsid w:val="00AE1AA5"/>
    <w:rsid w:val="00AF5FCB"/>
    <w:rsid w:val="00B0042D"/>
    <w:rsid w:val="00B033D8"/>
    <w:rsid w:val="00B0739C"/>
    <w:rsid w:val="00B119E4"/>
    <w:rsid w:val="00B14968"/>
    <w:rsid w:val="00B21A48"/>
    <w:rsid w:val="00B23987"/>
    <w:rsid w:val="00B27360"/>
    <w:rsid w:val="00B37617"/>
    <w:rsid w:val="00B403D5"/>
    <w:rsid w:val="00B45060"/>
    <w:rsid w:val="00B47773"/>
    <w:rsid w:val="00B50170"/>
    <w:rsid w:val="00B54199"/>
    <w:rsid w:val="00B5638E"/>
    <w:rsid w:val="00B6166A"/>
    <w:rsid w:val="00B84A83"/>
    <w:rsid w:val="00B9075F"/>
    <w:rsid w:val="00BA0C23"/>
    <w:rsid w:val="00BA219E"/>
    <w:rsid w:val="00BA712B"/>
    <w:rsid w:val="00BA7A6A"/>
    <w:rsid w:val="00BA7B99"/>
    <w:rsid w:val="00BB7D03"/>
    <w:rsid w:val="00BC1C7E"/>
    <w:rsid w:val="00BC464A"/>
    <w:rsid w:val="00BC7623"/>
    <w:rsid w:val="00BE4935"/>
    <w:rsid w:val="00C11496"/>
    <w:rsid w:val="00C17CF6"/>
    <w:rsid w:val="00C20E25"/>
    <w:rsid w:val="00C22ED8"/>
    <w:rsid w:val="00C26416"/>
    <w:rsid w:val="00C405E4"/>
    <w:rsid w:val="00C4327E"/>
    <w:rsid w:val="00C538A0"/>
    <w:rsid w:val="00C56FC4"/>
    <w:rsid w:val="00C7512C"/>
    <w:rsid w:val="00C77538"/>
    <w:rsid w:val="00C8047B"/>
    <w:rsid w:val="00C81BCE"/>
    <w:rsid w:val="00C8459A"/>
    <w:rsid w:val="00C90051"/>
    <w:rsid w:val="00C93F9C"/>
    <w:rsid w:val="00C97AE3"/>
    <w:rsid w:val="00CA1243"/>
    <w:rsid w:val="00CA2C6B"/>
    <w:rsid w:val="00CA7DF6"/>
    <w:rsid w:val="00CB2D50"/>
    <w:rsid w:val="00CB6944"/>
    <w:rsid w:val="00CB725F"/>
    <w:rsid w:val="00CC15A8"/>
    <w:rsid w:val="00CC2282"/>
    <w:rsid w:val="00CC7ADC"/>
    <w:rsid w:val="00CF0694"/>
    <w:rsid w:val="00CF3838"/>
    <w:rsid w:val="00CF71F6"/>
    <w:rsid w:val="00D000DB"/>
    <w:rsid w:val="00D0120B"/>
    <w:rsid w:val="00D01AC8"/>
    <w:rsid w:val="00D172AA"/>
    <w:rsid w:val="00D208BA"/>
    <w:rsid w:val="00D20CAA"/>
    <w:rsid w:val="00D22F1C"/>
    <w:rsid w:val="00D253E7"/>
    <w:rsid w:val="00D26381"/>
    <w:rsid w:val="00D30CFF"/>
    <w:rsid w:val="00D3790F"/>
    <w:rsid w:val="00D41511"/>
    <w:rsid w:val="00D476CB"/>
    <w:rsid w:val="00D5224F"/>
    <w:rsid w:val="00D5390E"/>
    <w:rsid w:val="00D57A4E"/>
    <w:rsid w:val="00D57BD1"/>
    <w:rsid w:val="00D606E2"/>
    <w:rsid w:val="00D61699"/>
    <w:rsid w:val="00D64660"/>
    <w:rsid w:val="00D7545B"/>
    <w:rsid w:val="00D96C4B"/>
    <w:rsid w:val="00DA1841"/>
    <w:rsid w:val="00DA375C"/>
    <w:rsid w:val="00DB6149"/>
    <w:rsid w:val="00DC4CD8"/>
    <w:rsid w:val="00DC63BC"/>
    <w:rsid w:val="00DC6F5B"/>
    <w:rsid w:val="00DC7532"/>
    <w:rsid w:val="00DD644A"/>
    <w:rsid w:val="00DD73EF"/>
    <w:rsid w:val="00DE0FCF"/>
    <w:rsid w:val="00DF0F6F"/>
    <w:rsid w:val="00E0369A"/>
    <w:rsid w:val="00E055A8"/>
    <w:rsid w:val="00E12B55"/>
    <w:rsid w:val="00E21981"/>
    <w:rsid w:val="00E52C4E"/>
    <w:rsid w:val="00E53460"/>
    <w:rsid w:val="00E6069B"/>
    <w:rsid w:val="00E61279"/>
    <w:rsid w:val="00E96C68"/>
    <w:rsid w:val="00E97AB4"/>
    <w:rsid w:val="00EC2E9E"/>
    <w:rsid w:val="00EC4B50"/>
    <w:rsid w:val="00ED5403"/>
    <w:rsid w:val="00EE220F"/>
    <w:rsid w:val="00EF0C35"/>
    <w:rsid w:val="00EF2C17"/>
    <w:rsid w:val="00F01287"/>
    <w:rsid w:val="00F1128D"/>
    <w:rsid w:val="00F14424"/>
    <w:rsid w:val="00F158FE"/>
    <w:rsid w:val="00F25D41"/>
    <w:rsid w:val="00F30DD4"/>
    <w:rsid w:val="00F32BFD"/>
    <w:rsid w:val="00F32D7E"/>
    <w:rsid w:val="00F45120"/>
    <w:rsid w:val="00F46411"/>
    <w:rsid w:val="00F5241A"/>
    <w:rsid w:val="00F61588"/>
    <w:rsid w:val="00F7653C"/>
    <w:rsid w:val="00F86708"/>
    <w:rsid w:val="00F87D56"/>
    <w:rsid w:val="00F92924"/>
    <w:rsid w:val="00F92BC2"/>
    <w:rsid w:val="00F93F64"/>
    <w:rsid w:val="00FA10AF"/>
    <w:rsid w:val="00FA247C"/>
    <w:rsid w:val="00FA7462"/>
    <w:rsid w:val="00FA7D45"/>
    <w:rsid w:val="00FB4384"/>
    <w:rsid w:val="00FB5A7D"/>
    <w:rsid w:val="00FD691B"/>
    <w:rsid w:val="00FD7D54"/>
    <w:rsid w:val="00FE1C5D"/>
    <w:rsid w:val="00FE34BF"/>
    <w:rsid w:val="00FE7AC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335A8A"/>
  <w15:chartTrackingRefBased/>
  <w15:docId w15:val="{9F052D72-C0CE-4AFF-83AB-FE7679E98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0"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4672"/>
    <w:pPr>
      <w:spacing w:before="120" w:after="120"/>
      <w:jc w:val="both"/>
    </w:pPr>
    <w:rPr>
      <w:rFonts w:ascii="Tahoma" w:eastAsia="Times New Roman" w:hAnsi="Tahoma" w:cs="Calibri"/>
      <w:szCs w:val="24"/>
    </w:rPr>
  </w:style>
  <w:style w:type="paragraph" w:styleId="Titre1">
    <w:name w:val="heading 1"/>
    <w:basedOn w:val="Normal"/>
    <w:next w:val="Normal"/>
    <w:link w:val="Titre1Car"/>
    <w:uiPriority w:val="9"/>
    <w:rsid w:val="00C26416"/>
    <w:pPr>
      <w:keepNext/>
      <w:spacing w:before="240" w:after="60"/>
      <w:outlineLvl w:val="0"/>
    </w:pPr>
    <w:rPr>
      <w:rFonts w:ascii="Calibri Light" w:hAnsi="Calibri Light" w:cs="Times New Roman"/>
      <w:b/>
      <w:bCs/>
      <w:kern w:val="32"/>
      <w:sz w:val="32"/>
      <w:szCs w:val="32"/>
    </w:rPr>
  </w:style>
  <w:style w:type="paragraph" w:styleId="Titre2">
    <w:name w:val="heading 2"/>
    <w:basedOn w:val="Normal"/>
    <w:next w:val="Normal"/>
    <w:link w:val="Titre2Car"/>
    <w:rsid w:val="009F4672"/>
    <w:pPr>
      <w:keepNext/>
      <w:jc w:val="center"/>
      <w:outlineLvl w:val="1"/>
    </w:pPr>
    <w:rPr>
      <w:rFonts w:ascii="TimesNewRomanPS-BoldMT" w:hAnsi="TimesNewRomanPS-BoldMT"/>
      <w:b/>
      <w:bCs/>
      <w:sz w:val="19"/>
      <w:szCs w:val="19"/>
    </w:rPr>
  </w:style>
  <w:style w:type="paragraph" w:styleId="Titre3">
    <w:name w:val="heading 3"/>
    <w:basedOn w:val="Normal"/>
    <w:next w:val="Normal"/>
    <w:link w:val="Titre3Car"/>
    <w:uiPriority w:val="9"/>
    <w:unhideWhenUsed/>
    <w:rsid w:val="005B7300"/>
    <w:pPr>
      <w:keepNext/>
      <w:outlineLvl w:val="2"/>
    </w:pPr>
    <w:rPr>
      <w:rFonts w:eastAsia="Calibri" w:cs="Tahoma"/>
      <w:b/>
      <w:bCs/>
      <w:szCs w:val="20"/>
    </w:rPr>
  </w:style>
  <w:style w:type="paragraph" w:styleId="Titre4">
    <w:name w:val="heading 4"/>
    <w:basedOn w:val="Normal"/>
    <w:next w:val="Normal"/>
    <w:link w:val="Titre4Car"/>
    <w:uiPriority w:val="9"/>
    <w:unhideWhenUsed/>
    <w:qFormat/>
    <w:rsid w:val="00797E8E"/>
    <w:pPr>
      <w:keepNext/>
      <w:jc w:val="right"/>
      <w:outlineLvl w:val="3"/>
    </w:pPr>
    <w:rPr>
      <w:rFonts w:eastAsia="Calibri" w:cs="Tahoma"/>
      <w:b/>
      <w:bCs/>
      <w:i/>
      <w:szCs w:val="20"/>
    </w:rPr>
  </w:style>
  <w:style w:type="character" w:default="1" w:styleId="Policepardfaut">
    <w:name w:val="Default Paragraph Font"/>
    <w:uiPriority w:val="1"/>
    <w:semiHidden/>
    <w:unhideWhenUsed/>
    <w:rsid w:val="009F4672"/>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rsid w:val="009F4672"/>
  </w:style>
  <w:style w:type="paragraph" w:customStyle="1" w:styleId="Style1">
    <w:name w:val="Style1"/>
    <w:basedOn w:val="Normal"/>
    <w:uiPriority w:val="99"/>
    <w:rsid w:val="009F4672"/>
    <w:pPr>
      <w:spacing w:line="525" w:lineRule="exact"/>
      <w:jc w:val="center"/>
    </w:pPr>
  </w:style>
  <w:style w:type="paragraph" w:customStyle="1" w:styleId="Style2">
    <w:name w:val="Style2"/>
    <w:basedOn w:val="Normal"/>
    <w:uiPriority w:val="99"/>
    <w:rsid w:val="009F4672"/>
  </w:style>
  <w:style w:type="paragraph" w:customStyle="1" w:styleId="Style3">
    <w:name w:val="Style3"/>
    <w:basedOn w:val="Normal"/>
    <w:uiPriority w:val="99"/>
    <w:rsid w:val="009F4672"/>
    <w:pPr>
      <w:spacing w:line="266" w:lineRule="exact"/>
    </w:pPr>
  </w:style>
  <w:style w:type="paragraph" w:customStyle="1" w:styleId="Style4">
    <w:name w:val="Style4"/>
    <w:basedOn w:val="Normal"/>
    <w:uiPriority w:val="99"/>
    <w:rsid w:val="009F4672"/>
  </w:style>
  <w:style w:type="paragraph" w:customStyle="1" w:styleId="Style5">
    <w:name w:val="Style5"/>
    <w:basedOn w:val="Normal"/>
    <w:uiPriority w:val="99"/>
    <w:rsid w:val="009F4672"/>
    <w:pPr>
      <w:spacing w:line="280" w:lineRule="exact"/>
    </w:pPr>
  </w:style>
  <w:style w:type="paragraph" w:customStyle="1" w:styleId="Style6">
    <w:name w:val="Style6"/>
    <w:basedOn w:val="Normal"/>
    <w:uiPriority w:val="99"/>
    <w:rsid w:val="009F4672"/>
    <w:pPr>
      <w:spacing w:line="266" w:lineRule="exact"/>
      <w:ind w:firstLine="825"/>
    </w:pPr>
  </w:style>
  <w:style w:type="paragraph" w:customStyle="1" w:styleId="Style7">
    <w:name w:val="Style7"/>
    <w:basedOn w:val="Normal"/>
    <w:uiPriority w:val="99"/>
    <w:rsid w:val="009F4672"/>
    <w:pPr>
      <w:spacing w:line="273" w:lineRule="exact"/>
    </w:pPr>
  </w:style>
  <w:style w:type="paragraph" w:customStyle="1" w:styleId="Style8">
    <w:name w:val="Style8"/>
    <w:basedOn w:val="Normal"/>
    <w:uiPriority w:val="99"/>
    <w:rsid w:val="009F4672"/>
    <w:pPr>
      <w:spacing w:line="266" w:lineRule="exact"/>
      <w:ind w:hanging="482"/>
    </w:pPr>
  </w:style>
  <w:style w:type="paragraph" w:customStyle="1" w:styleId="Style9">
    <w:name w:val="Style9"/>
    <w:basedOn w:val="Normal"/>
    <w:uiPriority w:val="99"/>
    <w:rsid w:val="009F4672"/>
    <w:pPr>
      <w:spacing w:line="269" w:lineRule="exact"/>
      <w:ind w:firstLine="370"/>
    </w:pPr>
  </w:style>
  <w:style w:type="paragraph" w:customStyle="1" w:styleId="Style10">
    <w:name w:val="Style10"/>
    <w:basedOn w:val="Normal"/>
    <w:uiPriority w:val="99"/>
    <w:rsid w:val="009F4672"/>
  </w:style>
  <w:style w:type="paragraph" w:customStyle="1" w:styleId="Style11">
    <w:name w:val="Style11"/>
    <w:basedOn w:val="Normal"/>
    <w:uiPriority w:val="99"/>
    <w:rsid w:val="009F4672"/>
  </w:style>
  <w:style w:type="paragraph" w:customStyle="1" w:styleId="Style12">
    <w:name w:val="Style12"/>
    <w:basedOn w:val="Normal"/>
    <w:uiPriority w:val="99"/>
    <w:rsid w:val="009F4672"/>
  </w:style>
  <w:style w:type="character" w:customStyle="1" w:styleId="FontStyle14">
    <w:name w:val="Font Style14"/>
    <w:uiPriority w:val="99"/>
    <w:rsid w:val="009F4672"/>
    <w:rPr>
      <w:rFonts w:ascii="Arial" w:hAnsi="Arial" w:cs="Arial"/>
      <w:sz w:val="20"/>
      <w:szCs w:val="20"/>
    </w:rPr>
  </w:style>
  <w:style w:type="character" w:customStyle="1" w:styleId="FontStyle15">
    <w:name w:val="Font Style15"/>
    <w:uiPriority w:val="99"/>
    <w:rsid w:val="009F4672"/>
    <w:rPr>
      <w:rFonts w:ascii="Arial" w:hAnsi="Arial" w:cs="Arial"/>
      <w:b/>
      <w:bCs/>
      <w:sz w:val="20"/>
      <w:szCs w:val="20"/>
    </w:rPr>
  </w:style>
  <w:style w:type="character" w:customStyle="1" w:styleId="FontStyle16">
    <w:name w:val="Font Style16"/>
    <w:uiPriority w:val="99"/>
    <w:rsid w:val="009F4672"/>
    <w:rPr>
      <w:rFonts w:ascii="Arial" w:hAnsi="Arial" w:cs="Arial"/>
      <w:sz w:val="26"/>
      <w:szCs w:val="26"/>
    </w:rPr>
  </w:style>
  <w:style w:type="character" w:customStyle="1" w:styleId="FontStyle17">
    <w:name w:val="Font Style17"/>
    <w:uiPriority w:val="99"/>
    <w:rsid w:val="009F4672"/>
    <w:rPr>
      <w:rFonts w:ascii="Arial" w:hAnsi="Arial" w:cs="Arial"/>
      <w:b/>
      <w:bCs/>
      <w:sz w:val="18"/>
      <w:szCs w:val="18"/>
    </w:rPr>
  </w:style>
  <w:style w:type="character" w:customStyle="1" w:styleId="FontStyle18">
    <w:name w:val="Font Style18"/>
    <w:uiPriority w:val="99"/>
    <w:rsid w:val="009F4672"/>
    <w:rPr>
      <w:rFonts w:ascii="Arial" w:hAnsi="Arial" w:cs="Arial"/>
      <w:sz w:val="18"/>
      <w:szCs w:val="18"/>
    </w:rPr>
  </w:style>
  <w:style w:type="character" w:customStyle="1" w:styleId="FontStyle19">
    <w:name w:val="Font Style19"/>
    <w:uiPriority w:val="99"/>
    <w:rsid w:val="009F4672"/>
    <w:rPr>
      <w:rFonts w:ascii="Arial" w:hAnsi="Arial" w:cs="Arial"/>
      <w:sz w:val="16"/>
      <w:szCs w:val="16"/>
    </w:rPr>
  </w:style>
  <w:style w:type="paragraph" w:styleId="Sansinterligne">
    <w:name w:val="No Spacing"/>
    <w:link w:val="SansinterligneCar"/>
    <w:uiPriority w:val="1"/>
    <w:rsid w:val="009F4672"/>
    <w:pPr>
      <w:widowControl w:val="0"/>
      <w:autoSpaceDE w:val="0"/>
      <w:autoSpaceDN w:val="0"/>
      <w:adjustRightInd w:val="0"/>
      <w:spacing w:before="120" w:after="120"/>
      <w:jc w:val="both"/>
    </w:pPr>
    <w:rPr>
      <w:rFonts w:ascii="Times New Roman" w:eastAsia="Times New Roman" w:hAnsi="Times New Roman" w:cs="Calibri"/>
      <w:sz w:val="24"/>
      <w:szCs w:val="24"/>
    </w:rPr>
  </w:style>
  <w:style w:type="paragraph" w:styleId="En-tte">
    <w:name w:val="header"/>
    <w:basedOn w:val="Normal"/>
    <w:link w:val="En-tteCar"/>
    <w:uiPriority w:val="99"/>
    <w:unhideWhenUsed/>
    <w:rsid w:val="009F4672"/>
    <w:pPr>
      <w:tabs>
        <w:tab w:val="center" w:pos="4536"/>
        <w:tab w:val="right" w:pos="9072"/>
      </w:tabs>
    </w:pPr>
  </w:style>
  <w:style w:type="character" w:customStyle="1" w:styleId="En-tteCar">
    <w:name w:val="En-tête Car"/>
    <w:link w:val="En-tte"/>
    <w:uiPriority w:val="99"/>
    <w:rsid w:val="009F4672"/>
    <w:rPr>
      <w:rFonts w:ascii="Tahoma" w:eastAsia="Times New Roman" w:hAnsi="Tahoma" w:cs="Calibri"/>
      <w:szCs w:val="24"/>
    </w:rPr>
  </w:style>
  <w:style w:type="paragraph" w:styleId="Pieddepage">
    <w:name w:val="footer"/>
    <w:basedOn w:val="Normal"/>
    <w:link w:val="PieddepageCar"/>
    <w:uiPriority w:val="99"/>
    <w:unhideWhenUsed/>
    <w:rsid w:val="009F4672"/>
    <w:pPr>
      <w:tabs>
        <w:tab w:val="center" w:pos="4536"/>
        <w:tab w:val="right" w:pos="9072"/>
      </w:tabs>
    </w:pPr>
  </w:style>
  <w:style w:type="character" w:customStyle="1" w:styleId="PieddepageCar">
    <w:name w:val="Pied de page Car"/>
    <w:link w:val="Pieddepage"/>
    <w:uiPriority w:val="99"/>
    <w:rsid w:val="009F4672"/>
    <w:rPr>
      <w:rFonts w:ascii="Tahoma" w:eastAsia="Times New Roman" w:hAnsi="Tahoma" w:cs="Calibri"/>
      <w:szCs w:val="24"/>
    </w:rPr>
  </w:style>
  <w:style w:type="character" w:customStyle="1" w:styleId="Titre2Car">
    <w:name w:val="Titre 2 Car"/>
    <w:link w:val="Titre2"/>
    <w:rsid w:val="009F4672"/>
    <w:rPr>
      <w:rFonts w:ascii="TimesNewRomanPS-BoldMT" w:eastAsia="Times New Roman" w:hAnsi="TimesNewRomanPS-BoldMT" w:cs="Calibri"/>
      <w:b/>
      <w:bCs/>
      <w:sz w:val="19"/>
      <w:szCs w:val="19"/>
    </w:rPr>
  </w:style>
  <w:style w:type="character" w:customStyle="1" w:styleId="SansinterligneCar">
    <w:name w:val="Sans interligne Car"/>
    <w:link w:val="Sansinterligne"/>
    <w:uiPriority w:val="1"/>
    <w:rsid w:val="009F4672"/>
    <w:rPr>
      <w:rFonts w:ascii="Times New Roman" w:eastAsia="Times New Roman" w:hAnsi="Times New Roman" w:cs="Calibri"/>
      <w:sz w:val="24"/>
      <w:szCs w:val="24"/>
    </w:rPr>
  </w:style>
  <w:style w:type="paragraph" w:styleId="Paragraphedeliste">
    <w:name w:val="List Paragraph"/>
    <w:basedOn w:val="Normal"/>
    <w:uiPriority w:val="34"/>
    <w:rsid w:val="009F4672"/>
    <w:pPr>
      <w:ind w:left="708"/>
    </w:pPr>
  </w:style>
  <w:style w:type="paragraph" w:customStyle="1" w:styleId="Questions">
    <w:name w:val="Questions"/>
    <w:basedOn w:val="Normal"/>
    <w:link w:val="QuestionsCar"/>
    <w:autoRedefine/>
    <w:qFormat/>
    <w:rsid w:val="009F4672"/>
    <w:pPr>
      <w:numPr>
        <w:numId w:val="5"/>
      </w:numPr>
      <w:tabs>
        <w:tab w:val="left" w:pos="412"/>
      </w:tabs>
      <w:spacing w:before="5"/>
    </w:pPr>
    <w:rPr>
      <w:rFonts w:cs="Tahoma"/>
      <w:b/>
      <w:sz w:val="24"/>
    </w:rPr>
  </w:style>
  <w:style w:type="character" w:customStyle="1" w:styleId="QuestionsCar">
    <w:name w:val="Questions Car"/>
    <w:link w:val="Questions"/>
    <w:rsid w:val="009F4672"/>
    <w:rPr>
      <w:rFonts w:ascii="Tahoma" w:eastAsia="Times New Roman" w:hAnsi="Tahoma" w:cs="Tahoma"/>
      <w:b/>
      <w:sz w:val="24"/>
      <w:szCs w:val="24"/>
    </w:rPr>
  </w:style>
  <w:style w:type="paragraph" w:customStyle="1" w:styleId="TAF">
    <w:name w:val="TAF"/>
    <w:basedOn w:val="Sansinterligne"/>
    <w:link w:val="TAFCar"/>
    <w:qFormat/>
    <w:rsid w:val="009F4672"/>
    <w:pPr>
      <w:jc w:val="center"/>
    </w:pPr>
    <w:rPr>
      <w:rFonts w:ascii="Tahoma" w:hAnsi="Tahoma" w:cs="Tahoma"/>
      <w:b/>
      <w:sz w:val="20"/>
      <w:szCs w:val="20"/>
      <w:u w:val="single"/>
    </w:rPr>
  </w:style>
  <w:style w:type="character" w:customStyle="1" w:styleId="TAFCar">
    <w:name w:val="TAF Car"/>
    <w:link w:val="TAF"/>
    <w:rsid w:val="009F4672"/>
    <w:rPr>
      <w:rFonts w:ascii="Tahoma" w:eastAsia="Times New Roman" w:hAnsi="Tahoma" w:cs="Tahoma"/>
      <w:b/>
      <w:u w:val="single"/>
    </w:rPr>
  </w:style>
  <w:style w:type="paragraph" w:customStyle="1" w:styleId="Lettres">
    <w:name w:val="Lettres"/>
    <w:basedOn w:val="Normal"/>
    <w:link w:val="LettresCar"/>
    <w:qFormat/>
    <w:rsid w:val="009F4672"/>
    <w:pPr>
      <w:numPr>
        <w:numId w:val="1"/>
      </w:numPr>
      <w:spacing w:after="60"/>
    </w:pPr>
    <w:rPr>
      <w:b/>
      <w:sz w:val="24"/>
    </w:rPr>
  </w:style>
  <w:style w:type="character" w:customStyle="1" w:styleId="LettresCar">
    <w:name w:val="Lettres Car"/>
    <w:link w:val="Lettres"/>
    <w:rsid w:val="009F4672"/>
    <w:rPr>
      <w:rFonts w:ascii="Tahoma" w:eastAsia="Times New Roman" w:hAnsi="Tahoma" w:cs="Calibri"/>
      <w:b/>
      <w:sz w:val="24"/>
      <w:szCs w:val="24"/>
    </w:rPr>
  </w:style>
  <w:style w:type="paragraph" w:styleId="Titre">
    <w:name w:val="Title"/>
    <w:basedOn w:val="Normal"/>
    <w:next w:val="Normal"/>
    <w:link w:val="TitreCar"/>
    <w:uiPriority w:val="10"/>
    <w:qFormat/>
    <w:rsid w:val="009F4672"/>
    <w:pPr>
      <w:pBdr>
        <w:bottom w:val="single" w:sz="8" w:space="4" w:color="4F81BD"/>
      </w:pBdr>
      <w:spacing w:after="300"/>
      <w:contextualSpacing/>
    </w:pPr>
    <w:rPr>
      <w:rFonts w:ascii="Cambria" w:hAnsi="Cambria"/>
      <w:color w:val="17365D"/>
      <w:spacing w:val="5"/>
      <w:kern w:val="28"/>
      <w:sz w:val="52"/>
      <w:szCs w:val="52"/>
    </w:rPr>
  </w:style>
  <w:style w:type="character" w:customStyle="1" w:styleId="TitreCar">
    <w:name w:val="Titre Car"/>
    <w:link w:val="Titre"/>
    <w:uiPriority w:val="10"/>
    <w:rsid w:val="009F4672"/>
    <w:rPr>
      <w:rFonts w:ascii="Cambria" w:eastAsia="Times New Roman" w:hAnsi="Cambria" w:cs="Calibri"/>
      <w:color w:val="17365D"/>
      <w:spacing w:val="5"/>
      <w:kern w:val="28"/>
      <w:sz w:val="52"/>
      <w:szCs w:val="52"/>
    </w:rPr>
  </w:style>
  <w:style w:type="paragraph" w:styleId="Sous-titre">
    <w:name w:val="Subtitle"/>
    <w:basedOn w:val="Normal"/>
    <w:next w:val="Normal"/>
    <w:link w:val="Sous-titreCar"/>
    <w:uiPriority w:val="11"/>
    <w:rsid w:val="009F4672"/>
    <w:pPr>
      <w:spacing w:after="60"/>
      <w:jc w:val="center"/>
      <w:outlineLvl w:val="1"/>
    </w:pPr>
    <w:rPr>
      <w:rFonts w:ascii="Cambria" w:hAnsi="Cambria"/>
    </w:rPr>
  </w:style>
  <w:style w:type="character" w:customStyle="1" w:styleId="Sous-titreCar">
    <w:name w:val="Sous-titre Car"/>
    <w:link w:val="Sous-titre"/>
    <w:uiPriority w:val="11"/>
    <w:rsid w:val="009F4672"/>
    <w:rPr>
      <w:rFonts w:ascii="Cambria" w:eastAsia="Times New Roman" w:hAnsi="Cambria" w:cs="Calibri"/>
      <w:szCs w:val="24"/>
    </w:rPr>
  </w:style>
  <w:style w:type="table" w:styleId="Grilledutableau">
    <w:name w:val="Table Grid"/>
    <w:basedOn w:val="TableauNormal"/>
    <w:uiPriority w:val="59"/>
    <w:rsid w:val="009F4672"/>
    <w:rPr>
      <w:rFonts w:eastAsia="Times New Roman"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20">
    <w:name w:val="Font Style20"/>
    <w:uiPriority w:val="99"/>
    <w:rsid w:val="009F4672"/>
    <w:rPr>
      <w:rFonts w:ascii="Times New Roman" w:hAnsi="Times New Roman" w:cs="Times New Roman"/>
      <w:b/>
      <w:bCs/>
      <w:sz w:val="20"/>
      <w:szCs w:val="20"/>
    </w:rPr>
  </w:style>
  <w:style w:type="paragraph" w:customStyle="1" w:styleId="Style14">
    <w:name w:val="Style14"/>
    <w:basedOn w:val="Normal"/>
    <w:link w:val="Style14Car"/>
    <w:uiPriority w:val="99"/>
    <w:rsid w:val="009F4672"/>
    <w:pPr>
      <w:spacing w:line="252" w:lineRule="exact"/>
      <w:ind w:hanging="405"/>
    </w:pPr>
  </w:style>
  <w:style w:type="character" w:customStyle="1" w:styleId="FontStyle21">
    <w:name w:val="Font Style21"/>
    <w:uiPriority w:val="99"/>
    <w:rsid w:val="009F4672"/>
    <w:rPr>
      <w:rFonts w:ascii="Book Antiqua" w:hAnsi="Book Antiqua" w:cs="Book Antiqua"/>
      <w:spacing w:val="20"/>
      <w:sz w:val="20"/>
      <w:szCs w:val="20"/>
    </w:rPr>
  </w:style>
  <w:style w:type="character" w:customStyle="1" w:styleId="FontStyle22">
    <w:name w:val="Font Style22"/>
    <w:uiPriority w:val="99"/>
    <w:rsid w:val="009F4672"/>
    <w:rPr>
      <w:rFonts w:ascii="Arial" w:hAnsi="Arial" w:cs="Arial"/>
      <w:b/>
      <w:bCs/>
      <w:spacing w:val="20"/>
      <w:sz w:val="18"/>
      <w:szCs w:val="18"/>
    </w:rPr>
  </w:style>
  <w:style w:type="character" w:customStyle="1" w:styleId="FontStyle13">
    <w:name w:val="Font Style13"/>
    <w:uiPriority w:val="99"/>
    <w:rsid w:val="009F4672"/>
    <w:rPr>
      <w:rFonts w:ascii="Arial Unicode MS" w:eastAsia="Arial Unicode MS" w:cs="Arial Unicode MS"/>
      <w:sz w:val="20"/>
      <w:szCs w:val="20"/>
    </w:rPr>
  </w:style>
  <w:style w:type="character" w:customStyle="1" w:styleId="FontStyle12">
    <w:name w:val="Font Style12"/>
    <w:uiPriority w:val="99"/>
    <w:rsid w:val="009F4672"/>
    <w:rPr>
      <w:rFonts w:ascii="Arial Unicode MS" w:eastAsia="Arial Unicode MS" w:cs="Arial Unicode MS"/>
      <w:b/>
      <w:bCs/>
      <w:sz w:val="20"/>
      <w:szCs w:val="20"/>
    </w:rPr>
  </w:style>
  <w:style w:type="character" w:customStyle="1" w:styleId="FontStyle23">
    <w:name w:val="Font Style23"/>
    <w:uiPriority w:val="99"/>
    <w:rsid w:val="009F4672"/>
    <w:rPr>
      <w:rFonts w:ascii="Times New Roman" w:hAnsi="Times New Roman" w:cs="Times New Roman"/>
      <w:sz w:val="20"/>
      <w:szCs w:val="20"/>
    </w:rPr>
  </w:style>
  <w:style w:type="character" w:customStyle="1" w:styleId="FontStyle24">
    <w:name w:val="Font Style24"/>
    <w:uiPriority w:val="99"/>
    <w:rsid w:val="009F4672"/>
    <w:rPr>
      <w:rFonts w:ascii="Tahoma" w:hAnsi="Tahoma" w:cs="Tahoma"/>
      <w:b/>
      <w:bCs/>
      <w:sz w:val="22"/>
      <w:szCs w:val="22"/>
    </w:rPr>
  </w:style>
  <w:style w:type="character" w:customStyle="1" w:styleId="FontStyle25">
    <w:name w:val="Font Style25"/>
    <w:uiPriority w:val="99"/>
    <w:rsid w:val="009F4672"/>
    <w:rPr>
      <w:rFonts w:ascii="Times New Roman" w:hAnsi="Times New Roman" w:cs="Times New Roman"/>
      <w:b/>
      <w:bCs/>
      <w:i/>
      <w:iCs/>
      <w:sz w:val="20"/>
      <w:szCs w:val="20"/>
    </w:rPr>
  </w:style>
  <w:style w:type="paragraph" w:customStyle="1" w:styleId="Style13">
    <w:name w:val="Style13"/>
    <w:basedOn w:val="Normal"/>
    <w:uiPriority w:val="99"/>
    <w:rsid w:val="009F4672"/>
  </w:style>
  <w:style w:type="character" w:customStyle="1" w:styleId="FontStyle26">
    <w:name w:val="Font Style26"/>
    <w:uiPriority w:val="99"/>
    <w:rsid w:val="009F4672"/>
    <w:rPr>
      <w:rFonts w:ascii="Times New Roman" w:hAnsi="Times New Roman" w:cs="Times New Roman"/>
      <w:i/>
      <w:iCs/>
      <w:sz w:val="20"/>
      <w:szCs w:val="20"/>
    </w:rPr>
  </w:style>
  <w:style w:type="paragraph" w:customStyle="1" w:styleId="AnneSujet">
    <w:name w:val="AnnéeSujet"/>
    <w:basedOn w:val="Titre"/>
    <w:link w:val="AnneSujetCar"/>
    <w:qFormat/>
    <w:rsid w:val="009F4672"/>
    <w:rPr>
      <w:rFonts w:ascii="Tahoma" w:hAnsi="Tahoma" w:cs="Tahoma"/>
      <w:b/>
      <w:sz w:val="36"/>
      <w:szCs w:val="36"/>
    </w:rPr>
  </w:style>
  <w:style w:type="paragraph" w:customStyle="1" w:styleId="Dossier">
    <w:name w:val="Dossier"/>
    <w:basedOn w:val="Normal"/>
    <w:autoRedefine/>
    <w:uiPriority w:val="99"/>
    <w:rsid w:val="009F4672"/>
    <w:pPr>
      <w:framePr w:wrap="around" w:vAnchor="text" w:hAnchor="text" w:y="1"/>
      <w:pBdr>
        <w:top w:val="single" w:sz="4" w:space="5" w:color="auto"/>
        <w:left w:val="single" w:sz="4" w:space="4" w:color="auto"/>
        <w:bottom w:val="single" w:sz="4" w:space="5" w:color="auto"/>
        <w:right w:val="single" w:sz="4" w:space="4" w:color="auto"/>
      </w:pBdr>
      <w:shd w:val="pct25" w:color="auto" w:fill="auto"/>
      <w:spacing w:line="273" w:lineRule="exact"/>
      <w:jc w:val="center"/>
    </w:pPr>
    <w:rPr>
      <w:sz w:val="22"/>
    </w:rPr>
  </w:style>
  <w:style w:type="character" w:customStyle="1" w:styleId="AnneSujetCar">
    <w:name w:val="AnnéeSujet Car"/>
    <w:link w:val="AnneSujet"/>
    <w:rsid w:val="009F4672"/>
    <w:rPr>
      <w:rFonts w:ascii="Tahoma" w:eastAsia="Times New Roman" w:hAnsi="Tahoma" w:cs="Tahoma"/>
      <w:b/>
      <w:color w:val="17365D"/>
      <w:spacing w:val="5"/>
      <w:kern w:val="28"/>
      <w:sz w:val="36"/>
      <w:szCs w:val="36"/>
    </w:rPr>
  </w:style>
  <w:style w:type="paragraph" w:customStyle="1" w:styleId="Style15">
    <w:name w:val="Style15"/>
    <w:basedOn w:val="Normal"/>
    <w:uiPriority w:val="99"/>
    <w:rsid w:val="009F4672"/>
  </w:style>
  <w:style w:type="paragraph" w:customStyle="1" w:styleId="Style16">
    <w:name w:val="Style16"/>
    <w:basedOn w:val="Normal"/>
    <w:uiPriority w:val="99"/>
    <w:rsid w:val="009F4672"/>
    <w:pPr>
      <w:spacing w:line="273" w:lineRule="exact"/>
      <w:ind w:hanging="412"/>
    </w:pPr>
  </w:style>
  <w:style w:type="paragraph" w:customStyle="1" w:styleId="Style17">
    <w:name w:val="Style17"/>
    <w:basedOn w:val="Normal"/>
    <w:uiPriority w:val="99"/>
    <w:rsid w:val="009F4672"/>
    <w:pPr>
      <w:spacing w:line="280" w:lineRule="exact"/>
      <w:jc w:val="center"/>
    </w:pPr>
  </w:style>
  <w:style w:type="character" w:customStyle="1" w:styleId="FontStyle27">
    <w:name w:val="Font Style27"/>
    <w:uiPriority w:val="99"/>
    <w:rsid w:val="009F4672"/>
    <w:rPr>
      <w:rFonts w:ascii="Arial" w:hAnsi="Arial" w:cs="Arial"/>
      <w:b/>
      <w:bCs/>
      <w:sz w:val="20"/>
      <w:szCs w:val="20"/>
    </w:rPr>
  </w:style>
  <w:style w:type="paragraph" w:customStyle="1" w:styleId="Style18">
    <w:name w:val="Style18"/>
    <w:basedOn w:val="Normal"/>
    <w:uiPriority w:val="99"/>
    <w:rsid w:val="009F4672"/>
  </w:style>
  <w:style w:type="character" w:customStyle="1" w:styleId="FontStyle29">
    <w:name w:val="Font Style29"/>
    <w:uiPriority w:val="99"/>
    <w:rsid w:val="009F4672"/>
    <w:rPr>
      <w:rFonts w:ascii="Times New Roman" w:hAnsi="Times New Roman" w:cs="Times New Roman"/>
      <w:b/>
      <w:bCs/>
      <w:sz w:val="22"/>
      <w:szCs w:val="22"/>
    </w:rPr>
  </w:style>
  <w:style w:type="paragraph" w:customStyle="1" w:styleId="Question">
    <w:name w:val="Question"/>
    <w:basedOn w:val="Style14"/>
    <w:link w:val="QuestionCar1"/>
    <w:rsid w:val="009F4672"/>
    <w:pPr>
      <w:tabs>
        <w:tab w:val="left" w:pos="412"/>
      </w:tabs>
      <w:spacing w:before="5" w:line="240" w:lineRule="auto"/>
      <w:ind w:left="714" w:hanging="357"/>
    </w:pPr>
    <w:rPr>
      <w:rFonts w:cs="Tahoma"/>
    </w:rPr>
  </w:style>
  <w:style w:type="character" w:customStyle="1" w:styleId="Style14Car">
    <w:name w:val="Style14 Car"/>
    <w:link w:val="Style14"/>
    <w:uiPriority w:val="99"/>
    <w:rsid w:val="009F4672"/>
    <w:rPr>
      <w:rFonts w:ascii="Tahoma" w:eastAsia="Times New Roman" w:hAnsi="Tahoma" w:cs="Calibri"/>
      <w:szCs w:val="24"/>
    </w:rPr>
  </w:style>
  <w:style w:type="character" w:customStyle="1" w:styleId="QuestionCar">
    <w:name w:val="Question Car"/>
    <w:rsid w:val="009F4672"/>
    <w:rPr>
      <w:rFonts w:ascii="Times New Roman" w:eastAsia="Times New Roman" w:hAnsi="Times New Roman"/>
      <w:sz w:val="24"/>
      <w:szCs w:val="24"/>
    </w:rPr>
  </w:style>
  <w:style w:type="character" w:customStyle="1" w:styleId="QuestionCar1">
    <w:name w:val="Question Car1"/>
    <w:link w:val="Question"/>
    <w:rsid w:val="009F4672"/>
    <w:rPr>
      <w:rFonts w:ascii="Tahoma" w:eastAsia="Times New Roman" w:hAnsi="Tahoma" w:cs="Tahoma"/>
      <w:szCs w:val="24"/>
    </w:rPr>
  </w:style>
  <w:style w:type="paragraph" w:customStyle="1" w:styleId="Partie">
    <w:name w:val="Partie"/>
    <w:basedOn w:val="Normal"/>
    <w:link w:val="PartieCar"/>
    <w:qFormat/>
    <w:rsid w:val="009F4672"/>
    <w:rPr>
      <w:rFonts w:cs="Tahoma"/>
      <w:b/>
      <w:sz w:val="24"/>
      <w:u w:val="single"/>
    </w:rPr>
  </w:style>
  <w:style w:type="character" w:customStyle="1" w:styleId="PartieCar">
    <w:name w:val="Partie Car"/>
    <w:link w:val="Partie"/>
    <w:rsid w:val="009F4672"/>
    <w:rPr>
      <w:rFonts w:ascii="Tahoma" w:eastAsia="Times New Roman" w:hAnsi="Tahoma" w:cs="Tahoma"/>
      <w:b/>
      <w:sz w:val="24"/>
      <w:szCs w:val="24"/>
      <w:u w:val="single"/>
    </w:rPr>
  </w:style>
  <w:style w:type="paragraph" w:customStyle="1" w:styleId="CM7">
    <w:name w:val="CM7"/>
    <w:basedOn w:val="Normal"/>
    <w:next w:val="Normal"/>
    <w:uiPriority w:val="99"/>
    <w:rsid w:val="00115F59"/>
    <w:pPr>
      <w:jc w:val="left"/>
    </w:pPr>
    <w:rPr>
      <w:rFonts w:ascii="Arial" w:hAnsi="Arial" w:cs="Arial"/>
      <w:sz w:val="24"/>
    </w:rPr>
  </w:style>
  <w:style w:type="paragraph" w:customStyle="1" w:styleId="QuestionsMana">
    <w:name w:val="QuestionsMana"/>
    <w:basedOn w:val="Normal"/>
    <w:link w:val="QuestionsManaCar"/>
    <w:qFormat/>
    <w:rsid w:val="009F4672"/>
    <w:pPr>
      <w:numPr>
        <w:numId w:val="3"/>
      </w:numPr>
      <w:spacing w:after="202" w:line="276" w:lineRule="auto"/>
    </w:pPr>
    <w:rPr>
      <w:rFonts w:cs="Tahoma"/>
      <w:color w:val="000000"/>
      <w:szCs w:val="20"/>
    </w:rPr>
  </w:style>
  <w:style w:type="character" w:customStyle="1" w:styleId="QuestionsManaCar">
    <w:name w:val="QuestionsMana Car"/>
    <w:link w:val="QuestionsMana"/>
    <w:locked/>
    <w:rsid w:val="009F4672"/>
    <w:rPr>
      <w:rFonts w:ascii="Tahoma" w:eastAsia="Times New Roman" w:hAnsi="Tahoma" w:cs="Tahoma"/>
      <w:color w:val="000000"/>
    </w:rPr>
  </w:style>
  <w:style w:type="paragraph" w:customStyle="1" w:styleId="AnnexeMana">
    <w:name w:val="AnnexeMana"/>
    <w:basedOn w:val="Normal"/>
    <w:link w:val="AnnexeManaCar"/>
    <w:qFormat/>
    <w:rsid w:val="009F4672"/>
    <w:pPr>
      <w:spacing w:line="276" w:lineRule="auto"/>
    </w:pPr>
    <w:rPr>
      <w:rFonts w:cs="Tahoma"/>
      <w:b/>
      <w:bCs/>
      <w:color w:val="000000"/>
      <w:sz w:val="22"/>
      <w:szCs w:val="20"/>
      <w:u w:val="single"/>
    </w:rPr>
  </w:style>
  <w:style w:type="character" w:customStyle="1" w:styleId="AnnexeManaCar">
    <w:name w:val="AnnexeMana Car"/>
    <w:link w:val="AnnexeMana"/>
    <w:locked/>
    <w:rsid w:val="009F4672"/>
    <w:rPr>
      <w:rFonts w:ascii="Tahoma" w:eastAsia="Times New Roman" w:hAnsi="Tahoma" w:cs="Tahoma"/>
      <w:b/>
      <w:bCs/>
      <w:color w:val="000000"/>
      <w:sz w:val="22"/>
      <w:u w:val="single"/>
    </w:rPr>
  </w:style>
  <w:style w:type="paragraph" w:styleId="Notedebasdepage">
    <w:name w:val="footnote text"/>
    <w:basedOn w:val="Normal"/>
    <w:link w:val="NotedebasdepageCar"/>
    <w:uiPriority w:val="99"/>
    <w:semiHidden/>
    <w:unhideWhenUsed/>
    <w:rsid w:val="00571C5F"/>
    <w:rPr>
      <w:szCs w:val="20"/>
    </w:rPr>
  </w:style>
  <w:style w:type="character" w:customStyle="1" w:styleId="NotedebasdepageCar">
    <w:name w:val="Note de bas de page Car"/>
    <w:link w:val="Notedebasdepage"/>
    <w:uiPriority w:val="99"/>
    <w:semiHidden/>
    <w:rsid w:val="00571C5F"/>
    <w:rPr>
      <w:rFonts w:ascii="Tahoma" w:eastAsia="Times New Roman" w:hAnsi="Tahoma" w:cs="Calibri"/>
    </w:rPr>
  </w:style>
  <w:style w:type="character" w:styleId="Appelnotedebasdep">
    <w:name w:val="footnote reference"/>
    <w:uiPriority w:val="99"/>
    <w:semiHidden/>
    <w:unhideWhenUsed/>
    <w:rsid w:val="00571C5F"/>
    <w:rPr>
      <w:vertAlign w:val="superscript"/>
    </w:rPr>
  </w:style>
  <w:style w:type="paragraph" w:customStyle="1" w:styleId="Default">
    <w:name w:val="Default"/>
    <w:rsid w:val="000E6C2A"/>
    <w:pPr>
      <w:autoSpaceDE w:val="0"/>
      <w:autoSpaceDN w:val="0"/>
      <w:adjustRightInd w:val="0"/>
    </w:pPr>
    <w:rPr>
      <w:rFonts w:ascii="Arial" w:hAnsi="Arial" w:cs="Arial"/>
      <w:color w:val="000000"/>
      <w:sz w:val="24"/>
      <w:szCs w:val="24"/>
    </w:rPr>
  </w:style>
  <w:style w:type="character" w:customStyle="1" w:styleId="Titre1Car">
    <w:name w:val="Titre 1 Car"/>
    <w:link w:val="Titre1"/>
    <w:uiPriority w:val="9"/>
    <w:rsid w:val="00C26416"/>
    <w:rPr>
      <w:rFonts w:ascii="Calibri Light" w:eastAsia="Times New Roman" w:hAnsi="Calibri Light" w:cs="Times New Roman"/>
      <w:b/>
      <w:bCs/>
      <w:kern w:val="32"/>
      <w:sz w:val="32"/>
      <w:szCs w:val="32"/>
    </w:rPr>
  </w:style>
  <w:style w:type="character" w:customStyle="1" w:styleId="Titre3Car">
    <w:name w:val="Titre 3 Car"/>
    <w:link w:val="Titre3"/>
    <w:uiPriority w:val="9"/>
    <w:rsid w:val="005B7300"/>
    <w:rPr>
      <w:rFonts w:ascii="Tahoma" w:hAnsi="Tahoma" w:cs="Tahoma"/>
      <w:b/>
      <w:bCs/>
    </w:rPr>
  </w:style>
  <w:style w:type="character" w:customStyle="1" w:styleId="Titre4Car">
    <w:name w:val="Titre 4 Car"/>
    <w:link w:val="Titre4"/>
    <w:uiPriority w:val="9"/>
    <w:rsid w:val="00797E8E"/>
    <w:rPr>
      <w:rFonts w:ascii="Tahoma" w:hAnsi="Tahoma" w:cs="Tahoma"/>
      <w:b/>
      <w:bCs/>
      <w:i/>
    </w:rPr>
  </w:style>
  <w:style w:type="character" w:styleId="Lienhypertexte">
    <w:name w:val="Hyperlink"/>
    <w:uiPriority w:val="99"/>
    <w:unhideWhenUsed/>
    <w:rsid w:val="00FD7D54"/>
    <w:rPr>
      <w:color w:val="0563C1"/>
      <w:u w:val="single"/>
    </w:rPr>
  </w:style>
  <w:style w:type="paragraph" w:styleId="Corpsdetexte">
    <w:name w:val="Body Text"/>
    <w:basedOn w:val="Normal"/>
    <w:link w:val="CorpsdetexteCar"/>
    <w:uiPriority w:val="99"/>
    <w:unhideWhenUsed/>
    <w:rsid w:val="00A87410"/>
    <w:rPr>
      <w:rFonts w:eastAsia="Calibri"/>
      <w:b/>
      <w:bCs/>
    </w:rPr>
  </w:style>
  <w:style w:type="character" w:customStyle="1" w:styleId="CorpsdetexteCar">
    <w:name w:val="Corps de texte Car"/>
    <w:link w:val="Corpsdetexte"/>
    <w:uiPriority w:val="99"/>
    <w:rsid w:val="00A87410"/>
    <w:rPr>
      <w:rFonts w:ascii="Tahoma" w:hAnsi="Tahoma" w:cs="Calibri"/>
      <w:b/>
      <w:bCs/>
      <w:szCs w:val="24"/>
    </w:rPr>
  </w:style>
  <w:style w:type="paragraph" w:styleId="Corpsdetexte2">
    <w:name w:val="Body Text 2"/>
    <w:basedOn w:val="Normal"/>
    <w:link w:val="Corpsdetexte2Car"/>
    <w:uiPriority w:val="99"/>
    <w:unhideWhenUsed/>
    <w:rsid w:val="00F14424"/>
    <w:rPr>
      <w:rFonts w:eastAsia="Calibri"/>
      <w:b/>
      <w:i/>
    </w:rPr>
  </w:style>
  <w:style w:type="character" w:customStyle="1" w:styleId="Corpsdetexte2Car">
    <w:name w:val="Corps de texte 2 Car"/>
    <w:link w:val="Corpsdetexte2"/>
    <w:uiPriority w:val="99"/>
    <w:rsid w:val="00F14424"/>
    <w:rPr>
      <w:rFonts w:ascii="Tahoma" w:hAnsi="Tahoma" w:cs="Calibri"/>
      <w:b/>
      <w:i/>
      <w:szCs w:val="24"/>
    </w:rPr>
  </w:style>
  <w:style w:type="table" w:customStyle="1" w:styleId="TableNormal">
    <w:name w:val="Table Normal"/>
    <w:uiPriority w:val="2"/>
    <w:semiHidden/>
    <w:unhideWhenUsed/>
    <w:qFormat/>
    <w:rsid w:val="00687087"/>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87087"/>
    <w:pPr>
      <w:jc w:val="left"/>
    </w:pPr>
    <w:rPr>
      <w:rFonts w:ascii="Calibri" w:eastAsia="Calibri" w:hAnsi="Calibri" w:cs="Times New Roman"/>
      <w:sz w:val="22"/>
      <w:szCs w:val="22"/>
      <w:lang w:val="en-US" w:eastAsia="en-US"/>
    </w:rPr>
  </w:style>
  <w:style w:type="character" w:styleId="Marquedecommentaire">
    <w:name w:val="annotation reference"/>
    <w:uiPriority w:val="99"/>
    <w:semiHidden/>
    <w:unhideWhenUsed/>
    <w:rsid w:val="00EF2C17"/>
    <w:rPr>
      <w:sz w:val="16"/>
      <w:szCs w:val="16"/>
    </w:rPr>
  </w:style>
  <w:style w:type="paragraph" w:styleId="Commentaire">
    <w:name w:val="annotation text"/>
    <w:basedOn w:val="Normal"/>
    <w:link w:val="CommentaireCar"/>
    <w:uiPriority w:val="99"/>
    <w:semiHidden/>
    <w:unhideWhenUsed/>
    <w:rsid w:val="00EF2C17"/>
    <w:rPr>
      <w:szCs w:val="20"/>
    </w:rPr>
  </w:style>
  <w:style w:type="character" w:customStyle="1" w:styleId="CommentaireCar">
    <w:name w:val="Commentaire Car"/>
    <w:link w:val="Commentaire"/>
    <w:uiPriority w:val="99"/>
    <w:semiHidden/>
    <w:rsid w:val="00EF2C17"/>
    <w:rPr>
      <w:rFonts w:ascii="Tahoma" w:eastAsia="Times New Roman" w:hAnsi="Tahoma" w:cs="Calibri"/>
    </w:rPr>
  </w:style>
  <w:style w:type="paragraph" w:styleId="Objetducommentaire">
    <w:name w:val="annotation subject"/>
    <w:basedOn w:val="Commentaire"/>
    <w:next w:val="Commentaire"/>
    <w:link w:val="ObjetducommentaireCar"/>
    <w:uiPriority w:val="99"/>
    <w:semiHidden/>
    <w:unhideWhenUsed/>
    <w:rsid w:val="00EF2C17"/>
    <w:rPr>
      <w:b/>
      <w:bCs/>
    </w:rPr>
  </w:style>
  <w:style w:type="character" w:customStyle="1" w:styleId="ObjetducommentaireCar">
    <w:name w:val="Objet du commentaire Car"/>
    <w:link w:val="Objetducommentaire"/>
    <w:uiPriority w:val="99"/>
    <w:semiHidden/>
    <w:rsid w:val="00EF2C17"/>
    <w:rPr>
      <w:rFonts w:ascii="Tahoma" w:eastAsia="Times New Roman" w:hAnsi="Tahoma" w:cs="Calibri"/>
      <w:b/>
      <w:bCs/>
    </w:rPr>
  </w:style>
  <w:style w:type="paragraph" w:styleId="Textedebulles">
    <w:name w:val="Balloon Text"/>
    <w:basedOn w:val="Normal"/>
    <w:link w:val="TextedebullesCar"/>
    <w:uiPriority w:val="99"/>
    <w:semiHidden/>
    <w:unhideWhenUsed/>
    <w:rsid w:val="00EF2C17"/>
    <w:pPr>
      <w:spacing w:before="0" w:after="0"/>
    </w:pPr>
    <w:rPr>
      <w:rFonts w:ascii="Segoe UI" w:hAnsi="Segoe UI" w:cs="Segoe UI"/>
      <w:sz w:val="18"/>
      <w:szCs w:val="18"/>
    </w:rPr>
  </w:style>
  <w:style w:type="character" w:customStyle="1" w:styleId="TextedebullesCar">
    <w:name w:val="Texte de bulles Car"/>
    <w:link w:val="Textedebulles"/>
    <w:uiPriority w:val="99"/>
    <w:semiHidden/>
    <w:rsid w:val="00EF2C17"/>
    <w:rPr>
      <w:rFonts w:ascii="Segoe UI" w:eastAsia="Times New Roman" w:hAnsi="Segoe UI" w:cs="Segoe UI"/>
      <w:sz w:val="18"/>
      <w:szCs w:val="18"/>
    </w:rPr>
  </w:style>
  <w:style w:type="character" w:styleId="Mention">
    <w:name w:val="Mention"/>
    <w:uiPriority w:val="99"/>
    <w:semiHidden/>
    <w:unhideWhenUsed/>
    <w:rsid w:val="00E2198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figaro.f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eveloppement-durable.gouv.fr/"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RNETTE\AppData\Roaming\Microsoft\Templates\ModeleOral.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90D7C8-08AD-42CC-9AB4-91C815722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ModeleOral.dotx</Template>
  <TotalTime>18</TotalTime>
  <Pages>4</Pages>
  <Words>1145</Words>
  <Characters>6298</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7429</CharactersWithSpaces>
  <SharedDoc>false</SharedDoc>
  <HLinks>
    <vt:vector size="6" baseType="variant">
      <vt:variant>
        <vt:i4>4128813</vt:i4>
      </vt:variant>
      <vt:variant>
        <vt:i4>-1</vt:i4>
      </vt:variant>
      <vt:variant>
        <vt:i4>1035</vt:i4>
      </vt:variant>
      <vt:variant>
        <vt:i4>1</vt:i4>
      </vt:variant>
      <vt:variant>
        <vt:lpwstr>http://www.favi.com/wp-content/themes/favi/images/logo.png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www.stmg.education;http://www.stgcfe.fr</dc:creator>
  <cp:keywords/>
  <dc:description/>
  <cp:lastModifiedBy>Joëlle Cornette</cp:lastModifiedBy>
  <cp:revision>5</cp:revision>
  <dcterms:created xsi:type="dcterms:W3CDTF">2017-08-27T23:53:00Z</dcterms:created>
  <dcterms:modified xsi:type="dcterms:W3CDTF">2017-08-28T00:15:00Z</dcterms:modified>
</cp:coreProperties>
</file>