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FB5E70">
        <w:rPr>
          <w:rFonts w:ascii="Tahoma" w:hAnsi="Tahoma" w:cs="Tahoma"/>
          <w:b/>
          <w:sz w:val="30"/>
          <w:szCs w:val="30"/>
        </w:rPr>
        <w:t>4</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8B3AE0">
        <w:rPr>
          <w:rFonts w:ascii="Tahoma" w:hAnsi="Tahoma" w:cs="Tahoma"/>
          <w:b/>
          <w:sz w:val="30"/>
          <w:szCs w:val="30"/>
        </w:rPr>
        <w:t>Polynésie session de rattrapage</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326558" w:rsidRDefault="00326558" w:rsidP="00326558">
      <w:pPr>
        <w:rPr>
          <w:rStyle w:val="FontStyle15"/>
          <w:rFonts w:ascii="Tahoma" w:hAnsi="Tahoma" w:cs="Tahoma"/>
          <w:b w:val="0"/>
          <w:bCs w:val="0"/>
        </w:rPr>
      </w:pPr>
    </w:p>
    <w:p w:rsidR="00115F59" w:rsidRDefault="00115F59" w:rsidP="00A77838">
      <w:pPr>
        <w:pStyle w:val="Sansinterligne"/>
        <w:spacing w:line="276" w:lineRule="auto"/>
        <w:ind w:left="1276" w:hanging="1276"/>
        <w:jc w:val="both"/>
        <w:rPr>
          <w:rStyle w:val="FontStyle15"/>
          <w:rFonts w:ascii="Tahoma" w:hAnsi="Tahoma" w:cs="Tahoma"/>
          <w:bCs w:val="0"/>
        </w:rPr>
      </w:pPr>
    </w:p>
    <w:p w:rsidR="008B3AE0" w:rsidRPr="008B3AE0" w:rsidRDefault="008B3AE0" w:rsidP="008B3AE0">
      <w:pPr>
        <w:pStyle w:val="Questions"/>
        <w:rPr>
          <w:b w:val="0"/>
          <w:sz w:val="20"/>
          <w:szCs w:val="20"/>
        </w:rPr>
      </w:pPr>
      <w:r w:rsidRPr="008B3AE0">
        <w:rPr>
          <w:b w:val="0"/>
          <w:sz w:val="20"/>
          <w:szCs w:val="20"/>
        </w:rPr>
        <w:t>Expliquez en quoi consiste le problème économique de la rareté.</w:t>
      </w:r>
    </w:p>
    <w:p w:rsidR="008B3AE0" w:rsidRPr="008B3AE0" w:rsidRDefault="008B3AE0" w:rsidP="008B3AE0">
      <w:pPr>
        <w:pStyle w:val="Questions"/>
        <w:rPr>
          <w:b w:val="0"/>
          <w:sz w:val="20"/>
          <w:szCs w:val="20"/>
        </w:rPr>
      </w:pPr>
      <w:r w:rsidRPr="008B3AE0">
        <w:rPr>
          <w:b w:val="0"/>
          <w:sz w:val="20"/>
          <w:szCs w:val="20"/>
        </w:rPr>
        <w:t xml:space="preserve">Déterminez si l’investissement français dans les énergies renouvelables est suffisant pour compenser la raréfaction des ressources </w:t>
      </w:r>
      <w:r>
        <w:rPr>
          <w:b w:val="0"/>
          <w:sz w:val="20"/>
          <w:szCs w:val="20"/>
        </w:rPr>
        <w:t>énergétiques non renouvelables.</w:t>
      </w:r>
    </w:p>
    <w:p w:rsidR="00DC4CD8" w:rsidRPr="008B3AE0" w:rsidRDefault="008B3AE0" w:rsidP="008B3AE0">
      <w:pPr>
        <w:pStyle w:val="Questions"/>
        <w:rPr>
          <w:b w:val="0"/>
          <w:sz w:val="20"/>
          <w:szCs w:val="20"/>
        </w:rPr>
      </w:pPr>
      <w:r w:rsidRPr="008B3AE0">
        <w:rPr>
          <w:b w:val="0"/>
          <w:sz w:val="20"/>
          <w:szCs w:val="20"/>
        </w:rPr>
        <w:t>Relevez les difficultés que pourrait connaître l’économie mondiale du fait des déséquilibres environnementaux.</w:t>
      </w:r>
    </w:p>
    <w:p w:rsidR="00DC4CD8" w:rsidRPr="00DC4CD8" w:rsidRDefault="00DC4CD8" w:rsidP="00DC4CD8">
      <w:pPr>
        <w:pStyle w:val="Questions"/>
        <w:rPr>
          <w:b w:val="0"/>
          <w:sz w:val="20"/>
          <w:szCs w:val="20"/>
        </w:rPr>
      </w:pPr>
      <w:r w:rsidRPr="00DC4CD8">
        <w:rPr>
          <w:b w:val="0"/>
          <w:sz w:val="20"/>
          <w:szCs w:val="20"/>
        </w:rPr>
        <w:t>Rédigez une argumentation qui vous permette de répondre à la question suivante :</w:t>
      </w:r>
    </w:p>
    <w:p w:rsidR="00DC4CD8" w:rsidRDefault="00DC4CD8" w:rsidP="00DC4CD8"/>
    <w:p w:rsidR="009D2F18" w:rsidRDefault="00DC4CD8" w:rsidP="00DC4CD8">
      <w:r>
        <w:t xml:space="preserve"> </w:t>
      </w:r>
    </w:p>
    <w:p w:rsidR="009D2F18" w:rsidRDefault="008B3AE0" w:rsidP="008B3AE0">
      <w:pPr>
        <w:jc w:val="center"/>
      </w:pPr>
      <w:r w:rsidRPr="008B3AE0">
        <w:rPr>
          <w:b/>
        </w:rPr>
        <w:t xml:space="preserve">Le développement durable repose-t-il nécessairement sur une intervention de l’État </w:t>
      </w:r>
      <w:r w:rsidR="00845186" w:rsidRPr="00845186">
        <w:rPr>
          <w:b/>
        </w:rPr>
        <w:t>?</w:t>
      </w:r>
    </w:p>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FF252D" w:rsidRDefault="00FF252D" w:rsidP="00FF252D">
      <w:pPr>
        <w:ind w:left="284"/>
        <w:jc w:val="left"/>
      </w:pPr>
      <w:r>
        <w:t xml:space="preserve">Annexe 1 : </w:t>
      </w:r>
      <w:r w:rsidR="008B3AE0" w:rsidRPr="008B3AE0">
        <w:t>les investissements dans les énergies renouvelables en 2011, en milliards de dollars</w:t>
      </w:r>
    </w:p>
    <w:p w:rsidR="008B3AE0" w:rsidRDefault="008B3AE0" w:rsidP="00FF252D">
      <w:pPr>
        <w:ind w:left="284"/>
        <w:jc w:val="left"/>
      </w:pPr>
    </w:p>
    <w:p w:rsidR="00FF252D" w:rsidRDefault="00FF252D" w:rsidP="00FF252D">
      <w:pPr>
        <w:ind w:left="1418" w:hanging="1134"/>
        <w:jc w:val="left"/>
      </w:pPr>
      <w:r>
        <w:t xml:space="preserve">Annexe 2 : </w:t>
      </w:r>
      <w:r w:rsidR="008B3AE0" w:rsidRPr="008B3AE0">
        <w:t>Un scénario pour envisager le problème de la raréfaction des sources d’énergie fossiles</w:t>
      </w:r>
    </w:p>
    <w:p w:rsidR="00FF252D" w:rsidRDefault="00FF252D" w:rsidP="00FF252D">
      <w:pPr>
        <w:ind w:left="284"/>
        <w:jc w:val="left"/>
      </w:pPr>
    </w:p>
    <w:p w:rsidR="00FF252D" w:rsidRDefault="00FF252D" w:rsidP="00FF252D">
      <w:pPr>
        <w:ind w:left="284"/>
        <w:jc w:val="left"/>
      </w:pPr>
      <w:r>
        <w:t xml:space="preserve">Annexe 3 : </w:t>
      </w:r>
      <w:r w:rsidR="008B3AE0" w:rsidRPr="008B3AE0">
        <w:t>Perspectives de l’environnement de l’OCDE à l’horizon 2050 : les conséquences de l’inaction</w:t>
      </w:r>
    </w:p>
    <w:p w:rsidR="008B3AE0" w:rsidRDefault="008B3AE0" w:rsidP="00FF252D">
      <w:pPr>
        <w:ind w:left="284"/>
        <w:jc w:val="left"/>
      </w:pPr>
    </w:p>
    <w:p w:rsidR="00FF252D" w:rsidRDefault="00FF252D" w:rsidP="00FF252D">
      <w:pPr>
        <w:ind w:left="284"/>
        <w:jc w:val="left"/>
      </w:pPr>
      <w:r>
        <w:t xml:space="preserve">Annexe 4 : </w:t>
      </w:r>
      <w:r w:rsidR="008B3AE0" w:rsidRPr="008B3AE0">
        <w:t>Indice de développement humain et revenu par habitant</w:t>
      </w:r>
    </w:p>
    <w:p w:rsidR="008B3AE0" w:rsidRDefault="008B3AE0" w:rsidP="00FF252D">
      <w:pPr>
        <w:ind w:left="284"/>
        <w:jc w:val="left"/>
      </w:pPr>
    </w:p>
    <w:p w:rsidR="008B3AE0" w:rsidRDefault="008B3AE0" w:rsidP="008B3AE0">
      <w:pPr>
        <w:ind w:left="284"/>
        <w:jc w:val="left"/>
      </w:pPr>
      <w:r>
        <w:t xml:space="preserve">Annexe 5 : </w:t>
      </w:r>
      <w:r w:rsidRPr="008B3AE0">
        <w:t>Les déséquilibres de la croissance</w:t>
      </w:r>
    </w:p>
    <w:p w:rsidR="009D2F18" w:rsidRDefault="009D2F18" w:rsidP="009D2F18">
      <w:r>
        <w:t xml:space="preserve"> </w:t>
      </w:r>
    </w:p>
    <w:p w:rsidR="009D2F18" w:rsidRDefault="009D2F18" w:rsidP="009D2F18"/>
    <w:p w:rsidR="00F1128D" w:rsidRPr="00AD56BC" w:rsidRDefault="009D2F18"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br w:type="page"/>
      </w:r>
      <w:r w:rsidR="00F1128D" w:rsidRPr="00AD56BC">
        <w:rPr>
          <w:rFonts w:ascii="Arial" w:hAnsi="Arial" w:cs="Arial"/>
          <w:b/>
          <w:color w:val="000000"/>
          <w:sz w:val="28"/>
        </w:rPr>
        <w:lastRenderedPageBreak/>
        <w:t>ANNEXES</w:t>
      </w:r>
    </w:p>
    <w:p w:rsidR="009D2F18" w:rsidRDefault="009D2F18" w:rsidP="009D2F18"/>
    <w:p w:rsidR="00FD61A1" w:rsidRDefault="00FD61A1" w:rsidP="00056590">
      <w:pPr>
        <w:rPr>
          <w:b/>
          <w:u w:val="single"/>
        </w:rPr>
      </w:pPr>
    </w:p>
    <w:p w:rsidR="00FB5E70" w:rsidRDefault="00056590" w:rsidP="00056590">
      <w:pPr>
        <w:rPr>
          <w:b/>
        </w:rPr>
      </w:pPr>
      <w:r w:rsidRPr="00056590">
        <w:rPr>
          <w:b/>
          <w:u w:val="single"/>
        </w:rPr>
        <w:t>Annexe 1</w:t>
      </w:r>
      <w:r w:rsidRPr="00056590">
        <w:rPr>
          <w:b/>
        </w:rPr>
        <w:t xml:space="preserve"> : </w:t>
      </w:r>
      <w:r w:rsidR="008B3AE0" w:rsidRPr="008B3AE0">
        <w:rPr>
          <w:b/>
        </w:rPr>
        <w:t>Investissements dans les énergies renouvelables en 2011 (milliards de dollars)</w:t>
      </w:r>
    </w:p>
    <w:p w:rsidR="00FF252D" w:rsidRDefault="00FF252D" w:rsidP="00056590">
      <w:pPr>
        <w:rPr>
          <w:b/>
        </w:rPr>
      </w:pPr>
    </w:p>
    <w:p w:rsidR="00CB3D16" w:rsidRDefault="00DB7772" w:rsidP="00056590">
      <w:pPr>
        <w:rPr>
          <w:b/>
        </w:rPr>
      </w:pPr>
      <w:r>
        <w:rPr>
          <w:b/>
        </w:rPr>
        <w:object w:dxaOrig="9658" w:dyaOrig="4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483pt;height:249pt" o:ole="">
            <v:imagedata r:id="rId8" o:title=""/>
          </v:shape>
          <o:OLEObject Type="Embed" ProgID="MSGraph.Chart.8" ShapeID="_x0000_i1065" DrawAspect="Content" ObjectID="_1536217756" r:id="rId9">
            <o:FieldCodes>\s</o:FieldCodes>
          </o:OLEObject>
        </w:object>
      </w:r>
    </w:p>
    <w:p w:rsidR="00DB7772" w:rsidRPr="00DB7772" w:rsidRDefault="00DB7772" w:rsidP="00DB7772">
      <w:pPr>
        <w:jc w:val="right"/>
        <w:rPr>
          <w:b/>
          <w:i/>
        </w:rPr>
      </w:pPr>
      <w:r w:rsidRPr="00DB7772">
        <w:rPr>
          <w:b/>
          <w:i/>
        </w:rPr>
        <w:t>Source : P.Quiron, WWF/CIRED</w:t>
      </w:r>
    </w:p>
    <w:p w:rsidR="00DB7772" w:rsidRPr="00DB7772" w:rsidRDefault="00DB7772" w:rsidP="00DB7772">
      <w:pPr>
        <w:rPr>
          <w:b/>
        </w:rPr>
      </w:pPr>
    </w:p>
    <w:p w:rsidR="00990A09" w:rsidRDefault="00990A09" w:rsidP="00DB7772">
      <w:pPr>
        <w:rPr>
          <w:b/>
        </w:rPr>
      </w:pPr>
    </w:p>
    <w:p w:rsidR="00DB7772" w:rsidRDefault="00DB7772" w:rsidP="00DB7772">
      <w:pPr>
        <w:rPr>
          <w:b/>
        </w:rPr>
      </w:pPr>
      <w:r w:rsidRPr="00990A09">
        <w:rPr>
          <w:b/>
          <w:u w:val="single"/>
        </w:rPr>
        <w:t>Annexe 2</w:t>
      </w:r>
      <w:r w:rsidRPr="00DB7772">
        <w:rPr>
          <w:b/>
        </w:rPr>
        <w:t xml:space="preserve"> : Un scénario pour envisager le problème de la raréfaction des sources d’énergie fossiles</w:t>
      </w:r>
    </w:p>
    <w:p w:rsidR="00990A09" w:rsidRDefault="00990A09" w:rsidP="00DB7772">
      <w:pPr>
        <w:rPr>
          <w:b/>
        </w:rPr>
      </w:pPr>
    </w:p>
    <w:tbl>
      <w:tblPr>
        <w:tblW w:w="0" w:type="auto"/>
        <w:tblLook w:val="01E0" w:firstRow="1" w:lastRow="1" w:firstColumn="1" w:lastColumn="1" w:noHBand="0" w:noVBand="0"/>
      </w:tblPr>
      <w:tblGrid>
        <w:gridCol w:w="4625"/>
        <w:gridCol w:w="4605"/>
      </w:tblGrid>
      <w:tr w:rsidR="00990A09" w:rsidRPr="00990A09" w:rsidTr="004A3C48">
        <w:trPr>
          <w:trHeight w:val="3098"/>
        </w:trPr>
        <w:tc>
          <w:tcPr>
            <w:tcW w:w="4625" w:type="dxa"/>
            <w:vMerge w:val="restart"/>
          </w:tcPr>
          <w:p w:rsidR="00990A09" w:rsidRPr="00990A09" w:rsidRDefault="00990A09" w:rsidP="00990A09">
            <w:r w:rsidRPr="00990A09">
              <w:t>Production d’énergie primaire par source selon le scenario Negawatt, en TWh</w:t>
            </w:r>
          </w:p>
          <w:p w:rsidR="00990A09" w:rsidRPr="00990A09" w:rsidRDefault="00990A09" w:rsidP="00990A09">
            <w:pPr>
              <w:rPr>
                <w:b/>
              </w:rPr>
            </w:pPr>
            <w:r w:rsidRPr="00990A09">
              <w:rPr>
                <w:b/>
              </w:rPr>
              <w:pict>
                <v:shape id="_x0000_i1066" type="#_x0000_t75" style="width:219pt;height:228pt">
                  <v:imagedata r:id="rId10" o:title="" croptop="6079f"/>
                </v:shape>
              </w:pict>
            </w:r>
          </w:p>
          <w:p w:rsidR="00990A09" w:rsidRPr="00990A09" w:rsidRDefault="00990A09" w:rsidP="00990A09">
            <w:pPr>
              <w:rPr>
                <w:b/>
                <w:i/>
                <w:iCs/>
              </w:rPr>
            </w:pPr>
            <w:r w:rsidRPr="00990A09">
              <w:rPr>
                <w:b/>
                <w:i/>
                <w:iCs/>
              </w:rPr>
              <w:t>Source : Négawatt</w:t>
            </w:r>
          </w:p>
        </w:tc>
        <w:tc>
          <w:tcPr>
            <w:tcW w:w="4605" w:type="dxa"/>
          </w:tcPr>
          <w:tbl>
            <w:tblPr>
              <w:tblpPr w:leftFromText="141" w:rightFromText="141" w:vertAnchor="text" w:horzAnchor="margin" w:tblpXSpec="right" w:tblpY="1469"/>
              <w:tblW w:w="4181" w:type="dxa"/>
              <w:tblCellMar>
                <w:left w:w="70" w:type="dxa"/>
                <w:right w:w="70" w:type="dxa"/>
              </w:tblCellMar>
              <w:tblLook w:val="00A0" w:firstRow="1" w:lastRow="0" w:firstColumn="1" w:lastColumn="0" w:noHBand="0" w:noVBand="0"/>
            </w:tblPr>
            <w:tblGrid>
              <w:gridCol w:w="1771"/>
              <w:gridCol w:w="2410"/>
            </w:tblGrid>
            <w:tr w:rsidR="00990A09" w:rsidRPr="00990A09" w:rsidTr="004A3C48">
              <w:trPr>
                <w:trHeight w:val="600"/>
              </w:trPr>
              <w:tc>
                <w:tcPr>
                  <w:tcW w:w="1771" w:type="dxa"/>
                  <w:noWrap/>
                  <w:vAlign w:val="bottom"/>
                </w:tcPr>
                <w:p w:rsidR="00990A09" w:rsidRPr="00990A09" w:rsidRDefault="00990A09" w:rsidP="00990A09">
                  <w:pPr>
                    <w:rPr>
                      <w:b/>
                    </w:rPr>
                  </w:pPr>
                </w:p>
              </w:tc>
              <w:tc>
                <w:tcPr>
                  <w:tcW w:w="2410" w:type="dxa"/>
                  <w:tcBorders>
                    <w:top w:val="single" w:sz="4" w:space="0" w:color="auto"/>
                    <w:left w:val="single" w:sz="4" w:space="0" w:color="auto"/>
                    <w:right w:val="single" w:sz="4" w:space="0" w:color="auto"/>
                  </w:tcBorders>
                  <w:vAlign w:val="bottom"/>
                </w:tcPr>
                <w:p w:rsidR="00990A09" w:rsidRPr="00990A09" w:rsidRDefault="00990A09" w:rsidP="00990A09">
                  <w:r w:rsidRPr="00990A09">
                    <w:t>Réserves estimées en années au rythme de la production actuelle</w:t>
                  </w:r>
                </w:p>
              </w:tc>
            </w:tr>
            <w:tr w:rsidR="00990A09" w:rsidRPr="00990A09" w:rsidTr="00990A09">
              <w:trPr>
                <w:trHeight w:val="397"/>
              </w:trPr>
              <w:tc>
                <w:tcPr>
                  <w:tcW w:w="1771" w:type="dxa"/>
                  <w:tcBorders>
                    <w:top w:val="single" w:sz="4" w:space="0" w:color="auto"/>
                    <w:left w:val="single" w:sz="4" w:space="0" w:color="auto"/>
                    <w:bottom w:val="single" w:sz="4" w:space="0" w:color="auto"/>
                    <w:right w:val="single" w:sz="4" w:space="0" w:color="auto"/>
                  </w:tcBorders>
                  <w:noWrap/>
                  <w:vAlign w:val="center"/>
                </w:tcPr>
                <w:p w:rsidR="00990A09" w:rsidRPr="00990A09" w:rsidRDefault="00990A09" w:rsidP="00990A09">
                  <w:pPr>
                    <w:ind w:firstLine="67"/>
                    <w:jc w:val="left"/>
                  </w:pPr>
                  <w:r w:rsidRPr="00990A09">
                    <w:t>Pétrole</w:t>
                  </w:r>
                </w:p>
              </w:tc>
              <w:tc>
                <w:tcPr>
                  <w:tcW w:w="2410" w:type="dxa"/>
                  <w:tcBorders>
                    <w:top w:val="single" w:sz="4" w:space="0" w:color="auto"/>
                    <w:bottom w:val="single" w:sz="4" w:space="0" w:color="auto"/>
                    <w:right w:val="single" w:sz="4" w:space="0" w:color="auto"/>
                  </w:tcBorders>
                  <w:noWrap/>
                  <w:vAlign w:val="center"/>
                </w:tcPr>
                <w:p w:rsidR="00990A09" w:rsidRPr="00990A09" w:rsidRDefault="00990A09" w:rsidP="00990A09">
                  <w:pPr>
                    <w:ind w:right="850"/>
                    <w:jc w:val="right"/>
                  </w:pPr>
                  <w:r w:rsidRPr="00990A09">
                    <w:t>40</w:t>
                  </w:r>
                </w:p>
              </w:tc>
            </w:tr>
            <w:tr w:rsidR="00990A09" w:rsidRPr="00990A09" w:rsidTr="00990A09">
              <w:trPr>
                <w:trHeight w:val="397"/>
              </w:trPr>
              <w:tc>
                <w:tcPr>
                  <w:tcW w:w="1771" w:type="dxa"/>
                  <w:tcBorders>
                    <w:left w:val="single" w:sz="4" w:space="0" w:color="auto"/>
                    <w:bottom w:val="single" w:sz="4" w:space="0" w:color="auto"/>
                    <w:right w:val="single" w:sz="4" w:space="0" w:color="auto"/>
                  </w:tcBorders>
                  <w:noWrap/>
                  <w:vAlign w:val="center"/>
                </w:tcPr>
                <w:p w:rsidR="00990A09" w:rsidRPr="00990A09" w:rsidRDefault="00990A09" w:rsidP="00990A09">
                  <w:pPr>
                    <w:ind w:firstLine="67"/>
                    <w:jc w:val="left"/>
                  </w:pPr>
                  <w:r w:rsidRPr="00990A09">
                    <w:t>Gaz naturel</w:t>
                  </w:r>
                </w:p>
              </w:tc>
              <w:tc>
                <w:tcPr>
                  <w:tcW w:w="2410" w:type="dxa"/>
                  <w:tcBorders>
                    <w:bottom w:val="single" w:sz="4" w:space="0" w:color="auto"/>
                    <w:right w:val="single" w:sz="4" w:space="0" w:color="auto"/>
                  </w:tcBorders>
                  <w:noWrap/>
                  <w:vAlign w:val="center"/>
                </w:tcPr>
                <w:p w:rsidR="00990A09" w:rsidRPr="00990A09" w:rsidRDefault="00990A09" w:rsidP="00990A09">
                  <w:pPr>
                    <w:ind w:right="850"/>
                    <w:jc w:val="right"/>
                  </w:pPr>
                  <w:r w:rsidRPr="00990A09">
                    <w:t>70</w:t>
                  </w:r>
                </w:p>
              </w:tc>
            </w:tr>
            <w:tr w:rsidR="00990A09" w:rsidRPr="00990A09" w:rsidTr="00990A09">
              <w:trPr>
                <w:trHeight w:val="397"/>
              </w:trPr>
              <w:tc>
                <w:tcPr>
                  <w:tcW w:w="1771" w:type="dxa"/>
                  <w:tcBorders>
                    <w:left w:val="single" w:sz="4" w:space="0" w:color="auto"/>
                    <w:bottom w:val="single" w:sz="4" w:space="0" w:color="auto"/>
                    <w:right w:val="single" w:sz="4" w:space="0" w:color="auto"/>
                  </w:tcBorders>
                  <w:noWrap/>
                  <w:vAlign w:val="center"/>
                </w:tcPr>
                <w:p w:rsidR="00990A09" w:rsidRPr="00990A09" w:rsidRDefault="00990A09" w:rsidP="00990A09">
                  <w:pPr>
                    <w:ind w:firstLine="67"/>
                    <w:jc w:val="left"/>
                  </w:pPr>
                  <w:r w:rsidRPr="00990A09">
                    <w:t>Charbon</w:t>
                  </w:r>
                </w:p>
              </w:tc>
              <w:tc>
                <w:tcPr>
                  <w:tcW w:w="2410" w:type="dxa"/>
                  <w:tcBorders>
                    <w:bottom w:val="single" w:sz="4" w:space="0" w:color="auto"/>
                    <w:right w:val="single" w:sz="4" w:space="0" w:color="auto"/>
                  </w:tcBorders>
                  <w:noWrap/>
                  <w:vAlign w:val="center"/>
                </w:tcPr>
                <w:p w:rsidR="00990A09" w:rsidRPr="00990A09" w:rsidRDefault="00990A09" w:rsidP="00990A09">
                  <w:pPr>
                    <w:ind w:right="850"/>
                    <w:jc w:val="right"/>
                  </w:pPr>
                  <w:r w:rsidRPr="00990A09">
                    <w:t>230</w:t>
                  </w:r>
                </w:p>
              </w:tc>
            </w:tr>
            <w:tr w:rsidR="00990A09" w:rsidRPr="00990A09" w:rsidTr="00990A09">
              <w:trPr>
                <w:trHeight w:val="397"/>
              </w:trPr>
              <w:tc>
                <w:tcPr>
                  <w:tcW w:w="1771" w:type="dxa"/>
                  <w:tcBorders>
                    <w:left w:val="single" w:sz="4" w:space="0" w:color="auto"/>
                    <w:bottom w:val="single" w:sz="4" w:space="0" w:color="auto"/>
                    <w:right w:val="single" w:sz="4" w:space="0" w:color="auto"/>
                  </w:tcBorders>
                  <w:noWrap/>
                  <w:vAlign w:val="center"/>
                </w:tcPr>
                <w:p w:rsidR="00990A09" w:rsidRPr="00990A09" w:rsidRDefault="00990A09" w:rsidP="00990A09">
                  <w:pPr>
                    <w:ind w:firstLine="67"/>
                    <w:jc w:val="left"/>
                  </w:pPr>
                  <w:r w:rsidRPr="00990A09">
                    <w:t>Uranium</w:t>
                  </w:r>
                </w:p>
              </w:tc>
              <w:tc>
                <w:tcPr>
                  <w:tcW w:w="2410" w:type="dxa"/>
                  <w:tcBorders>
                    <w:bottom w:val="single" w:sz="4" w:space="0" w:color="auto"/>
                    <w:right w:val="single" w:sz="4" w:space="0" w:color="auto"/>
                  </w:tcBorders>
                  <w:noWrap/>
                  <w:vAlign w:val="center"/>
                </w:tcPr>
                <w:p w:rsidR="00990A09" w:rsidRPr="00990A09" w:rsidRDefault="00990A09" w:rsidP="00990A09">
                  <w:pPr>
                    <w:ind w:right="850"/>
                    <w:jc w:val="right"/>
                  </w:pPr>
                  <w:r w:rsidRPr="00990A09">
                    <w:t>50</w:t>
                  </w:r>
                </w:p>
              </w:tc>
            </w:tr>
          </w:tbl>
          <w:p w:rsidR="00990A09" w:rsidRPr="00990A09" w:rsidRDefault="00990A09" w:rsidP="00990A09">
            <w:pPr>
              <w:rPr>
                <w:b/>
              </w:rPr>
            </w:pPr>
          </w:p>
        </w:tc>
      </w:tr>
      <w:tr w:rsidR="00990A09" w:rsidRPr="00990A09" w:rsidTr="004A3C48">
        <w:trPr>
          <w:trHeight w:val="2112"/>
        </w:trPr>
        <w:tc>
          <w:tcPr>
            <w:tcW w:w="4625" w:type="dxa"/>
            <w:vMerge/>
          </w:tcPr>
          <w:p w:rsidR="00990A09" w:rsidRPr="00990A09" w:rsidRDefault="00990A09" w:rsidP="00990A09">
            <w:pPr>
              <w:rPr>
                <w:b/>
              </w:rPr>
            </w:pPr>
          </w:p>
        </w:tc>
        <w:tc>
          <w:tcPr>
            <w:tcW w:w="4605" w:type="dxa"/>
          </w:tcPr>
          <w:p w:rsidR="00990A09" w:rsidRPr="00990A09" w:rsidRDefault="00990A09" w:rsidP="00990A09">
            <w:pPr>
              <w:rPr>
                <w:b/>
              </w:rPr>
            </w:pPr>
          </w:p>
          <w:p w:rsidR="00990A09" w:rsidRPr="00990A09" w:rsidRDefault="00990A09" w:rsidP="00990A09">
            <w:pPr>
              <w:rPr>
                <w:b/>
                <w:i/>
                <w:iCs/>
              </w:rPr>
            </w:pPr>
            <w:r w:rsidRPr="00990A09">
              <w:rPr>
                <w:b/>
                <w:i/>
                <w:iCs/>
              </w:rPr>
              <w:t>Source : d’après CEA, « La question des réserves », octobre 2012</w:t>
            </w:r>
          </w:p>
        </w:tc>
      </w:tr>
    </w:tbl>
    <w:p w:rsidR="00990A09" w:rsidRPr="00DB7772" w:rsidRDefault="00990A09" w:rsidP="00DB7772">
      <w:pPr>
        <w:rPr>
          <w:b/>
        </w:rPr>
      </w:pPr>
    </w:p>
    <w:p w:rsidR="00DB7772" w:rsidRPr="00DB7772" w:rsidRDefault="00DB7772" w:rsidP="00DB7772">
      <w:pPr>
        <w:rPr>
          <w:b/>
        </w:rPr>
      </w:pPr>
    </w:p>
    <w:p w:rsidR="00DB7772" w:rsidRPr="00DB7772" w:rsidRDefault="00DB7772" w:rsidP="00DB7772">
      <w:pPr>
        <w:rPr>
          <w:b/>
        </w:rPr>
      </w:pPr>
      <w:r w:rsidRPr="00DB7772">
        <w:rPr>
          <w:b/>
        </w:rPr>
        <w:tab/>
      </w:r>
    </w:p>
    <w:p w:rsidR="00DB7772" w:rsidRPr="00DB7772" w:rsidRDefault="00DB7772" w:rsidP="00DB7772">
      <w:pPr>
        <w:rPr>
          <w:b/>
        </w:rPr>
      </w:pPr>
    </w:p>
    <w:p w:rsidR="00DB7772" w:rsidRPr="00DB7772" w:rsidRDefault="00DB7772" w:rsidP="00DB7772">
      <w:pPr>
        <w:rPr>
          <w:b/>
        </w:rPr>
      </w:pPr>
      <w:r w:rsidRPr="00DB7772">
        <w:rPr>
          <w:b/>
        </w:rPr>
        <w:t xml:space="preserve"> </w:t>
      </w:r>
    </w:p>
    <w:p w:rsidR="00DB7772" w:rsidRPr="00DB7772" w:rsidRDefault="00DB7772" w:rsidP="00DB7772">
      <w:pPr>
        <w:rPr>
          <w:b/>
        </w:rPr>
      </w:pPr>
      <w:r w:rsidRPr="00990A09">
        <w:rPr>
          <w:b/>
          <w:u w:val="single"/>
        </w:rPr>
        <w:t>Annexe 3</w:t>
      </w:r>
      <w:r w:rsidRPr="00DB7772">
        <w:rPr>
          <w:b/>
        </w:rPr>
        <w:t xml:space="preserve"> : Perspectives de l’environnement de l’OCDE à l’horizon 2050 : les conséquences de l’inaction</w:t>
      </w:r>
    </w:p>
    <w:p w:rsidR="00DB7772" w:rsidRPr="00DB7772" w:rsidRDefault="00DB7772" w:rsidP="00DB7772">
      <w:pPr>
        <w:rPr>
          <w:b/>
        </w:rPr>
      </w:pPr>
    </w:p>
    <w:p w:rsidR="00DB7772" w:rsidRDefault="00DB7772" w:rsidP="00DB7772">
      <w:r w:rsidRPr="00990A09">
        <w:t>Faute de nouvelles politiques, les progrès réalisés pour réduire les pressions sur l’environnement ne suffiront pas à compenser les impacts liés à la croissance économique.</w:t>
      </w:r>
    </w:p>
    <w:p w:rsidR="00990A09" w:rsidRPr="00990A09" w:rsidRDefault="00990A09" w:rsidP="00DB7772"/>
    <w:p w:rsidR="00DB7772" w:rsidRDefault="00DB7772" w:rsidP="00DB7772">
      <w:r w:rsidRPr="00990A09">
        <w:t>D'ici à 2050, la population de la planète devrait passer de 7 milliards à plus de 9 milliards, et l'économie mondiale devrait presque quadrupler, entraînant une demande croissante en énergie et ressources naturelles. Si la Chine et l’Inde pourraient voir un ralentissement de leur taux de croissance moyen du PIB, l’Afrique en revanche devrait afficher le taux de croissance le plus élevé du monde entre 2030 et 2050. […] La hausse des niveaux de vie [implique] une modification des modes de vie et des habitudes de consommation, qui aura des conséquences non négligeables pour l'environnement. Près de 70 % de la population de la planète vivra en zone urbaine en 2050, amplifiant […] la pollution de l’air, la congestion des transports et la gestion des déchets.</w:t>
      </w:r>
    </w:p>
    <w:p w:rsidR="00990A09" w:rsidRPr="00990A09" w:rsidRDefault="00990A09" w:rsidP="00DB7772"/>
    <w:p w:rsidR="00DB7772" w:rsidRDefault="00DB7772" w:rsidP="00DB7772">
      <w:r w:rsidRPr="00990A09">
        <w:t>Une économie mondiale quatre fois plus importante qu’aujourd’hui verra sa consommation d’énergie augmenter de 80 % à l’horizon 2050. Faute des politiques plus efficaces, la part des énergies fossiles dans le bouquet énergétique mondial devrait demeurer aux environs de 85 %. Les économies émergentes que sont le Brésil, la Russie, l'Inde, l'Indonésie, la Chine et l'Afrique du Sud (les BRIICS) devraient devenir de gros consommateurs d'énergie. Pour nourrir une population croissante dont les préférences alimentaires évoluent, la superficie des terres agricoles devra augmenter à l’échelle mondiale au cours de la prochaine décennie.</w:t>
      </w:r>
    </w:p>
    <w:p w:rsidR="00990A09" w:rsidRPr="00990A09" w:rsidRDefault="00990A09" w:rsidP="00DB7772"/>
    <w:p w:rsidR="00DB7772" w:rsidRPr="00990A09" w:rsidRDefault="00DB7772" w:rsidP="00DB7772">
      <w:r w:rsidRPr="00990A09">
        <w:t>[…] La dégradation et l’érosion de notre capital environnemental naturel risquent de se poursuivre jusqu’en 2050, entraînant des changements irréversibles qui pourraient mettre en péril les acquis de deux siècles d’amélioration des niveaux de vie.</w:t>
      </w:r>
    </w:p>
    <w:p w:rsidR="00DB7772" w:rsidRPr="00DB7772" w:rsidRDefault="00DB7772" w:rsidP="00DB7772">
      <w:pPr>
        <w:rPr>
          <w:b/>
        </w:rPr>
      </w:pPr>
    </w:p>
    <w:p w:rsidR="00DB7772" w:rsidRPr="00990A09" w:rsidRDefault="00DB7772" w:rsidP="00990A09">
      <w:pPr>
        <w:jc w:val="right"/>
        <w:rPr>
          <w:b/>
          <w:i/>
        </w:rPr>
      </w:pPr>
      <w:r w:rsidRPr="00990A09">
        <w:rPr>
          <w:b/>
          <w:i/>
        </w:rPr>
        <w:t>Source : Perspectives de l'environnement de l'OCDE à l'horizon 2050 : Les conséquences de l'inaction, OCDE 2012</w:t>
      </w:r>
    </w:p>
    <w:p w:rsidR="00DB7772" w:rsidRPr="00DB7772" w:rsidRDefault="00DB7772" w:rsidP="00DB7772">
      <w:pPr>
        <w:rPr>
          <w:b/>
        </w:rPr>
      </w:pPr>
    </w:p>
    <w:p w:rsidR="00DB7772" w:rsidRPr="00DB7772" w:rsidRDefault="00DB7772" w:rsidP="00DB7772">
      <w:pPr>
        <w:rPr>
          <w:b/>
        </w:rPr>
      </w:pPr>
      <w:r w:rsidRPr="00DB7772">
        <w:rPr>
          <w:b/>
        </w:rPr>
        <w:t xml:space="preserve"> </w:t>
      </w:r>
    </w:p>
    <w:p w:rsidR="00DB7772" w:rsidRPr="00DB7772" w:rsidRDefault="00DB7772" w:rsidP="00DB7772">
      <w:pPr>
        <w:rPr>
          <w:b/>
        </w:rPr>
      </w:pPr>
      <w:r w:rsidRPr="00DB7772">
        <w:rPr>
          <w:b/>
        </w:rPr>
        <w:t>Annexe 4 : Indice de développement humain et revenu par habitant</w:t>
      </w:r>
    </w:p>
    <w:p w:rsidR="00DB7772" w:rsidRPr="00DB7772" w:rsidRDefault="00DB7772" w:rsidP="00DB7772">
      <w:pPr>
        <w:rPr>
          <w:b/>
        </w:rPr>
      </w:pPr>
    </w:p>
    <w:tbl>
      <w:tblPr>
        <w:tblW w:w="9857" w:type="dxa"/>
        <w:tblLayout w:type="fixed"/>
        <w:tblCellMar>
          <w:left w:w="70" w:type="dxa"/>
          <w:right w:w="70" w:type="dxa"/>
        </w:tblCellMar>
        <w:tblLook w:val="00A0" w:firstRow="1" w:lastRow="0" w:firstColumn="1" w:lastColumn="0" w:noHBand="0" w:noVBand="0"/>
      </w:tblPr>
      <w:tblGrid>
        <w:gridCol w:w="667"/>
        <w:gridCol w:w="1941"/>
        <w:gridCol w:w="1747"/>
        <w:gridCol w:w="1834"/>
        <w:gridCol w:w="1682"/>
        <w:gridCol w:w="1986"/>
      </w:tblGrid>
      <w:tr w:rsidR="00990A09" w:rsidRPr="00990A09" w:rsidTr="00990A09">
        <w:trPr>
          <w:trHeight w:val="778"/>
        </w:trPr>
        <w:tc>
          <w:tcPr>
            <w:tcW w:w="667" w:type="dxa"/>
            <w:tcBorders>
              <w:top w:val="single" w:sz="4" w:space="0" w:color="auto"/>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Rang</w:t>
            </w:r>
          </w:p>
        </w:tc>
        <w:tc>
          <w:tcPr>
            <w:tcW w:w="1941" w:type="dxa"/>
            <w:tcBorders>
              <w:top w:val="single" w:sz="4" w:space="0" w:color="auto"/>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Pays</w:t>
            </w:r>
          </w:p>
        </w:tc>
        <w:tc>
          <w:tcPr>
            <w:tcW w:w="1747" w:type="dxa"/>
            <w:tcBorders>
              <w:top w:val="single" w:sz="4" w:space="0" w:color="auto"/>
              <w:left w:val="nil"/>
              <w:bottom w:val="single" w:sz="4" w:space="0" w:color="auto"/>
              <w:right w:val="single" w:sz="4" w:space="0" w:color="auto"/>
            </w:tcBorders>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Valeur de l'Indice de Développement Humain (IDH)</w:t>
            </w:r>
          </w:p>
        </w:tc>
        <w:tc>
          <w:tcPr>
            <w:tcW w:w="1834" w:type="dxa"/>
            <w:tcBorders>
              <w:top w:val="single" w:sz="4" w:space="0" w:color="auto"/>
              <w:left w:val="nil"/>
              <w:bottom w:val="single" w:sz="4" w:space="0" w:color="auto"/>
              <w:right w:val="single" w:sz="4" w:space="0" w:color="auto"/>
            </w:tcBorders>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 xml:space="preserve">Espérance de Vie à </w:t>
            </w:r>
            <w:smartTag w:uri="urn:schemas-microsoft-com:office:smarttags" w:element="PersonName">
              <w:smartTagPr>
                <w:attr w:name="ProductID" w:val="la Naissance"/>
              </w:smartTagPr>
              <w:r w:rsidRPr="00990A09">
                <w:rPr>
                  <w:rFonts w:ascii="Arial" w:hAnsi="Arial" w:cs="Times New Roman"/>
                  <w:color w:val="000000"/>
                  <w:szCs w:val="20"/>
                </w:rPr>
                <w:t>la Naissance</w:t>
              </w:r>
            </w:smartTag>
            <w:r w:rsidRPr="00990A09">
              <w:rPr>
                <w:rFonts w:ascii="Arial" w:hAnsi="Arial" w:cs="Times New Roman"/>
                <w:color w:val="000000"/>
                <w:szCs w:val="20"/>
              </w:rPr>
              <w:t xml:space="preserve"> (en années)</w:t>
            </w:r>
          </w:p>
        </w:tc>
        <w:tc>
          <w:tcPr>
            <w:tcW w:w="1682" w:type="dxa"/>
            <w:tcBorders>
              <w:top w:val="single" w:sz="4" w:space="0" w:color="auto"/>
              <w:left w:val="nil"/>
              <w:bottom w:val="single" w:sz="4" w:space="0" w:color="auto"/>
              <w:right w:val="single" w:sz="4" w:space="0" w:color="auto"/>
            </w:tcBorders>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Durée attendue de scolarisation (en années) (2)</w:t>
            </w:r>
          </w:p>
        </w:tc>
        <w:tc>
          <w:tcPr>
            <w:tcW w:w="1986" w:type="dxa"/>
            <w:tcBorders>
              <w:top w:val="single" w:sz="4" w:space="0" w:color="auto"/>
              <w:left w:val="nil"/>
              <w:bottom w:val="single" w:sz="4" w:space="0" w:color="auto"/>
              <w:right w:val="single" w:sz="4" w:space="0" w:color="auto"/>
            </w:tcBorders>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Revenu National Brut annuel par Habitant (1)</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1</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Norvège</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0,943</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81,1</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17,3</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47,57</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2</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Australie</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0,929</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81,9</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18</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34,431</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3</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Pays-Bas</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0,91</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80,7</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16,8</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36,402</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4</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États-Unis</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0,91</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78,5</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16</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43,017</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5</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Nouvelle-Zélande</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0,908</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80,7</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18</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23,737</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6</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Canada</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0,908</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81</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16</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35,166</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7</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Irlande</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0,908</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80,6</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18</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29,322</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8</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Liechtenstein</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0,905</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79,6</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14,7</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83,717</w:t>
            </w:r>
          </w:p>
        </w:tc>
      </w:tr>
      <w:tr w:rsidR="00990A09" w:rsidRPr="00990A09" w:rsidTr="00990A09">
        <w:trPr>
          <w:trHeight w:val="305"/>
        </w:trPr>
        <w:tc>
          <w:tcPr>
            <w:tcW w:w="667" w:type="dxa"/>
            <w:tcBorders>
              <w:top w:val="nil"/>
              <w:left w:val="single" w:sz="4" w:space="0" w:color="auto"/>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jc w:val="center"/>
              <w:rPr>
                <w:rFonts w:ascii="Arial" w:hAnsi="Arial" w:cs="Times New Roman"/>
                <w:color w:val="000000"/>
                <w:szCs w:val="20"/>
              </w:rPr>
            </w:pPr>
            <w:r w:rsidRPr="00990A09">
              <w:rPr>
                <w:rFonts w:ascii="Arial" w:hAnsi="Arial" w:cs="Times New Roman"/>
                <w:color w:val="000000"/>
                <w:szCs w:val="20"/>
              </w:rPr>
              <w:t>20</w:t>
            </w:r>
          </w:p>
        </w:tc>
        <w:tc>
          <w:tcPr>
            <w:tcW w:w="1941"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firstLine="95"/>
              <w:jc w:val="left"/>
              <w:rPr>
                <w:rFonts w:ascii="Arial" w:hAnsi="Arial" w:cs="Times New Roman"/>
                <w:color w:val="000000"/>
                <w:szCs w:val="20"/>
              </w:rPr>
            </w:pPr>
            <w:r w:rsidRPr="00990A09">
              <w:rPr>
                <w:rFonts w:ascii="Arial" w:hAnsi="Arial" w:cs="Times New Roman"/>
                <w:color w:val="000000"/>
                <w:szCs w:val="20"/>
              </w:rPr>
              <w:t>France</w:t>
            </w:r>
          </w:p>
        </w:tc>
        <w:tc>
          <w:tcPr>
            <w:tcW w:w="1747"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0,884</w:t>
            </w:r>
          </w:p>
        </w:tc>
        <w:tc>
          <w:tcPr>
            <w:tcW w:w="1834"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81,5</w:t>
            </w:r>
          </w:p>
        </w:tc>
        <w:tc>
          <w:tcPr>
            <w:tcW w:w="1682"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16,1</w:t>
            </w:r>
          </w:p>
        </w:tc>
        <w:tc>
          <w:tcPr>
            <w:tcW w:w="1986" w:type="dxa"/>
            <w:tcBorders>
              <w:top w:val="nil"/>
              <w:left w:val="nil"/>
              <w:bottom w:val="single" w:sz="4" w:space="0" w:color="auto"/>
              <w:right w:val="single" w:sz="4" w:space="0" w:color="auto"/>
            </w:tcBorders>
            <w:noWrap/>
            <w:vAlign w:val="center"/>
          </w:tcPr>
          <w:p w:rsidR="00990A09" w:rsidRPr="00990A09" w:rsidRDefault="00990A09" w:rsidP="00990A09">
            <w:pPr>
              <w:widowControl/>
              <w:autoSpaceDE/>
              <w:autoSpaceDN/>
              <w:adjustRightInd/>
              <w:spacing w:line="276" w:lineRule="auto"/>
              <w:ind w:right="387"/>
              <w:jc w:val="right"/>
              <w:rPr>
                <w:rFonts w:ascii="Arial" w:hAnsi="Arial" w:cs="Times New Roman"/>
                <w:color w:val="000000"/>
                <w:szCs w:val="20"/>
              </w:rPr>
            </w:pPr>
            <w:r w:rsidRPr="00990A09">
              <w:rPr>
                <w:rFonts w:ascii="Arial" w:hAnsi="Arial" w:cs="Times New Roman"/>
                <w:color w:val="000000"/>
                <w:szCs w:val="20"/>
              </w:rPr>
              <w:t>30,462</w:t>
            </w:r>
          </w:p>
        </w:tc>
      </w:tr>
    </w:tbl>
    <w:p w:rsidR="00990A09" w:rsidRPr="00990A09" w:rsidRDefault="00990A09" w:rsidP="00990A09">
      <w:pPr>
        <w:widowControl/>
        <w:numPr>
          <w:ilvl w:val="0"/>
          <w:numId w:val="48"/>
        </w:numPr>
        <w:suppressAutoHyphens/>
        <w:autoSpaceDE/>
        <w:autoSpaceDN/>
        <w:adjustRightInd/>
        <w:spacing w:before="120" w:line="276" w:lineRule="auto"/>
        <w:ind w:left="714" w:hanging="357"/>
        <w:jc w:val="left"/>
        <w:rPr>
          <w:rFonts w:ascii="Arial" w:hAnsi="Arial" w:cs="Times New Roman"/>
          <w:color w:val="000000"/>
          <w:szCs w:val="20"/>
        </w:rPr>
      </w:pPr>
      <w:r w:rsidRPr="00990A09">
        <w:rPr>
          <w:rFonts w:ascii="Arial" w:hAnsi="Arial" w:cs="Times New Roman"/>
          <w:color w:val="000000"/>
          <w:szCs w:val="20"/>
        </w:rPr>
        <w:t>En milliers de $ Parité de Pouvoir d'Achat constant 2005</w:t>
      </w:r>
    </w:p>
    <w:p w:rsidR="00990A09" w:rsidRPr="00990A09" w:rsidRDefault="00990A09" w:rsidP="00990A09">
      <w:pPr>
        <w:widowControl/>
        <w:numPr>
          <w:ilvl w:val="0"/>
          <w:numId w:val="48"/>
        </w:numPr>
        <w:suppressAutoHyphens/>
        <w:autoSpaceDE/>
        <w:autoSpaceDN/>
        <w:adjustRightInd/>
        <w:spacing w:line="276" w:lineRule="auto"/>
        <w:jc w:val="left"/>
        <w:rPr>
          <w:rFonts w:ascii="Arial" w:hAnsi="Arial" w:cs="Times New Roman"/>
          <w:color w:val="000000"/>
          <w:szCs w:val="20"/>
        </w:rPr>
      </w:pPr>
      <w:r w:rsidRPr="00990A09">
        <w:rPr>
          <w:rFonts w:ascii="Arial" w:hAnsi="Arial" w:cs="Times New Roman"/>
          <w:color w:val="000000"/>
          <w:szCs w:val="20"/>
        </w:rPr>
        <w:t>Nombre d’années de scolarité dont un enfant en âge d’entrer à l’école peut espérer bénéficier.</w:t>
      </w:r>
    </w:p>
    <w:p w:rsidR="00990A09" w:rsidRDefault="00990A09" w:rsidP="00DB7772">
      <w:pPr>
        <w:rPr>
          <w:b/>
        </w:rPr>
      </w:pPr>
    </w:p>
    <w:p w:rsidR="00DB7772" w:rsidRPr="00990A09" w:rsidRDefault="00DB7772" w:rsidP="00990A09">
      <w:pPr>
        <w:jc w:val="right"/>
        <w:rPr>
          <w:b/>
          <w:i/>
        </w:rPr>
      </w:pPr>
      <w:r w:rsidRPr="00990A09">
        <w:rPr>
          <w:b/>
          <w:i/>
        </w:rPr>
        <w:t>Source : PNUD, Rapport sur le développement humain 2011</w:t>
      </w:r>
    </w:p>
    <w:p w:rsidR="00DB7772" w:rsidRPr="00DB7772" w:rsidRDefault="00DB7772" w:rsidP="00DB7772">
      <w:pPr>
        <w:rPr>
          <w:b/>
        </w:rPr>
      </w:pPr>
    </w:p>
    <w:p w:rsidR="00990A09" w:rsidRDefault="00990A09" w:rsidP="00DB7772">
      <w:pPr>
        <w:rPr>
          <w:b/>
        </w:rPr>
      </w:pPr>
    </w:p>
    <w:p w:rsidR="00990A09" w:rsidRDefault="00990A09" w:rsidP="00DB7772">
      <w:pPr>
        <w:rPr>
          <w:b/>
        </w:rPr>
      </w:pPr>
    </w:p>
    <w:p w:rsidR="00990A09" w:rsidRDefault="00990A09" w:rsidP="00DB7772">
      <w:pPr>
        <w:rPr>
          <w:b/>
        </w:rPr>
      </w:pPr>
    </w:p>
    <w:p w:rsidR="00990A09" w:rsidRDefault="00990A09" w:rsidP="00DB7772">
      <w:pPr>
        <w:rPr>
          <w:b/>
        </w:rPr>
      </w:pPr>
    </w:p>
    <w:p w:rsidR="00DB7772" w:rsidRPr="00DB7772" w:rsidRDefault="00DB7772" w:rsidP="00DB7772">
      <w:pPr>
        <w:rPr>
          <w:b/>
        </w:rPr>
      </w:pPr>
      <w:r w:rsidRPr="00990A09">
        <w:rPr>
          <w:b/>
          <w:u w:val="single"/>
        </w:rPr>
        <w:lastRenderedPageBreak/>
        <w:t>Annexe 5</w:t>
      </w:r>
      <w:r w:rsidRPr="00DB7772">
        <w:rPr>
          <w:b/>
        </w:rPr>
        <w:t xml:space="preserve"> : Les déséquilibres de la croissance</w:t>
      </w:r>
    </w:p>
    <w:p w:rsidR="00DB7772" w:rsidRPr="00DB7772" w:rsidRDefault="00DB7772" w:rsidP="00DB7772">
      <w:pPr>
        <w:rPr>
          <w:b/>
        </w:rPr>
      </w:pPr>
    </w:p>
    <w:p w:rsidR="00DB7772" w:rsidRPr="00990A09" w:rsidRDefault="00DB7772" w:rsidP="00DB7772">
      <w:r w:rsidRPr="00990A09">
        <w:t>[…] Le système économique fondé sur la poursuite indéfinie de la croissance est tout simplement insoutenable, en raison de ses impacts écologiques, mais aussi à cause des inégalités sociales qu'il engendre. La crise financière a produit un changement dans les comportements économiques, en matière de consommation et d'épargne. Avant la crise, dans de nombreuses économies occidentales, les citoyens ordinaires accroissaient leurs dettes pour consommer. Depuis, ils ont commencé à épargner davantage, à se concentrer sur le nécessaire […]. Ce qui est le plus frappant est que ce type de comportement, qui fait absolument sens au niveau individuel, est un désastre au niveau de l'économie […] : lorsque les consommateurs épargnent en période de récession, cela ne fait que renforcer la récession. […] Cela ouvre un dilemme : la croissance est insoutenable, mais la décroissance est instable, tout au moins dans le cadre du système économique actuel. […]</w:t>
      </w:r>
    </w:p>
    <w:p w:rsidR="00DB7772" w:rsidRPr="00DB7772" w:rsidRDefault="00DB7772" w:rsidP="00DB7772">
      <w:pPr>
        <w:rPr>
          <w:b/>
        </w:rPr>
      </w:pPr>
    </w:p>
    <w:p w:rsidR="00DB7772" w:rsidRPr="00990A09" w:rsidRDefault="00DB7772" w:rsidP="00990A09">
      <w:pPr>
        <w:jc w:val="right"/>
        <w:rPr>
          <w:b/>
          <w:i/>
        </w:rPr>
      </w:pPr>
      <w:bookmarkStart w:id="0" w:name="_GoBack"/>
      <w:r w:rsidRPr="00990A09">
        <w:rPr>
          <w:b/>
          <w:i/>
        </w:rPr>
        <w:t>Source : Entretien avec Tim Jackson, économiste, auteur de Prospérité sans croissance, Alternatives Économiques, Avril 2013</w:t>
      </w:r>
      <w:bookmarkEnd w:id="0"/>
    </w:p>
    <w:sectPr w:rsidR="00DB7772" w:rsidRPr="00990A09" w:rsidSect="009D2F18">
      <w:footerReference w:type="default" r:id="rId11"/>
      <w:footerReference w:type="first" r:id="rId12"/>
      <w:type w:val="continuous"/>
      <w:pgSz w:w="11907" w:h="16839" w:code="9"/>
      <w:pgMar w:top="720" w:right="1275" w:bottom="720" w:left="1304"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68" w:rsidRDefault="00224C68">
      <w:r>
        <w:separator/>
      </w:r>
    </w:p>
  </w:endnote>
  <w:endnote w:type="continuationSeparator" w:id="0">
    <w:p w:rsidR="00224C68" w:rsidRDefault="0022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990A09">
      <w:rPr>
        <w:rFonts w:cs="Tahoma"/>
        <w:noProof/>
        <w:szCs w:val="20"/>
      </w:rPr>
      <w:t>2</w:t>
    </w:r>
    <w:r w:rsidRPr="00121FFA">
      <w:rPr>
        <w:rFonts w:cs="Tahoma"/>
        <w:szCs w:val="20"/>
      </w:rPr>
      <w:fldChar w:fldCharType="end"/>
    </w:r>
    <w:r w:rsidRPr="00121FFA">
      <w:rPr>
        <w:rFonts w:cs="Tahoma"/>
        <w:szCs w:val="20"/>
      </w:rPr>
      <w:t xml:space="preserve"> / </w:t>
    </w:r>
    <w:r w:rsidR="00224C68">
      <w:fldChar w:fldCharType="begin"/>
    </w:r>
    <w:r w:rsidR="00224C68">
      <w:instrText xml:space="preserve"> NUMPAGES   \* MERGEFORMAT </w:instrText>
    </w:r>
    <w:r w:rsidR="00224C68">
      <w:fldChar w:fldCharType="separate"/>
    </w:r>
    <w:r w:rsidR="00990A09" w:rsidRPr="00990A09">
      <w:rPr>
        <w:rFonts w:cs="Tahoma"/>
        <w:noProof/>
        <w:szCs w:val="20"/>
      </w:rPr>
      <w:t>4</w:t>
    </w:r>
    <w:r w:rsidR="00224C68">
      <w:rPr>
        <w:rFonts w:cs="Tahoma"/>
        <w:noProof/>
        <w:szCs w:val="20"/>
      </w:rPr>
      <w:fldChar w:fldCharType="end"/>
    </w:r>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990A09">
      <w:rPr>
        <w:rFonts w:cs="Tahoma"/>
        <w:noProof/>
        <w:szCs w:val="20"/>
      </w:rPr>
      <w:t>1</w:t>
    </w:r>
    <w:r w:rsidRPr="00121FFA">
      <w:rPr>
        <w:rFonts w:cs="Tahoma"/>
        <w:szCs w:val="20"/>
      </w:rPr>
      <w:fldChar w:fldCharType="end"/>
    </w:r>
    <w:r w:rsidRPr="00121FFA">
      <w:rPr>
        <w:rFonts w:cs="Tahoma"/>
        <w:szCs w:val="20"/>
      </w:rPr>
      <w:t xml:space="preserve"> / </w:t>
    </w:r>
    <w:r w:rsidR="00224C68">
      <w:fldChar w:fldCharType="begin"/>
    </w:r>
    <w:r w:rsidR="00224C68">
      <w:instrText xml:space="preserve"> NUMPAGES   \* MERGEFORMAT </w:instrText>
    </w:r>
    <w:r w:rsidR="00224C68">
      <w:fldChar w:fldCharType="separate"/>
    </w:r>
    <w:r w:rsidR="00990A09" w:rsidRPr="00990A09">
      <w:rPr>
        <w:rFonts w:cs="Tahoma"/>
        <w:noProof/>
        <w:szCs w:val="20"/>
      </w:rPr>
      <w:t>4</w:t>
    </w:r>
    <w:r w:rsidR="00224C68">
      <w:rPr>
        <w:rFonts w:cs="Tahoma"/>
        <w:noProof/>
        <w:szCs w:val="20"/>
      </w:rPr>
      <w:fldChar w:fldCharType="end"/>
    </w:r>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68" w:rsidRDefault="00224C68">
      <w:r>
        <w:separator/>
      </w:r>
    </w:p>
  </w:footnote>
  <w:footnote w:type="continuationSeparator" w:id="0">
    <w:p w:rsidR="00224C68" w:rsidRDefault="00224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E51707"/>
    <w:multiLevelType w:val="hybridMultilevel"/>
    <w:tmpl w:val="23CEE1D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C43192"/>
    <w:multiLevelType w:val="hybridMultilevel"/>
    <w:tmpl w:val="BAE43630"/>
    <w:lvl w:ilvl="0" w:tplc="2A24201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9"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10"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5"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6"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20"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21"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3"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8"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9"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2"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3"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6FD0538E"/>
    <w:multiLevelType w:val="hybridMultilevel"/>
    <w:tmpl w:val="567C602E"/>
    <w:lvl w:ilvl="0" w:tplc="3DDC8074">
      <w:start w:val="1"/>
      <w:numFmt w:val="decimal"/>
      <w:lvlText w:val="(%1)"/>
      <w:lvlJc w:val="left"/>
      <w:pPr>
        <w:ind w:left="720" w:hanging="360"/>
      </w:pPr>
      <w:rPr>
        <w:rFonts w:eastAsia="Droid Sans" w:hint="default"/>
        <w:color w:val="333333"/>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E8050D7"/>
    <w:multiLevelType w:val="hybridMultilevel"/>
    <w:tmpl w:val="2FD8D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36"/>
  </w:num>
  <w:num w:numId="4">
    <w:abstractNumId w:val="2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9"/>
  </w:num>
  <w:num w:numId="8">
    <w:abstractNumId w:val="33"/>
  </w:num>
  <w:num w:numId="9">
    <w:abstractNumId w:val="30"/>
  </w:num>
  <w:num w:numId="10">
    <w:abstractNumId w:val="3"/>
  </w:num>
  <w:num w:numId="11">
    <w:abstractNumId w:val="40"/>
  </w:num>
  <w:num w:numId="12">
    <w:abstractNumId w:val="6"/>
  </w:num>
  <w:num w:numId="13">
    <w:abstractNumId w:val="35"/>
  </w:num>
  <w:num w:numId="14">
    <w:abstractNumId w:val="10"/>
  </w:num>
  <w:num w:numId="15">
    <w:abstractNumId w:val="2"/>
  </w:num>
  <w:num w:numId="16">
    <w:abstractNumId w:val="38"/>
  </w:num>
  <w:num w:numId="17">
    <w:abstractNumId w:val="13"/>
  </w:num>
  <w:num w:numId="18">
    <w:abstractNumId w:val="21"/>
  </w:num>
  <w:num w:numId="19">
    <w:abstractNumId w:val="24"/>
  </w:num>
  <w:num w:numId="20">
    <w:abstractNumId w:val="32"/>
  </w:num>
  <w:num w:numId="21">
    <w:abstractNumId w:val="32"/>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9"/>
  </w:num>
  <w:num w:numId="23">
    <w:abstractNumId w:val="1"/>
  </w:num>
  <w:num w:numId="24">
    <w:abstractNumId w:val="15"/>
  </w:num>
  <w:num w:numId="25">
    <w:abstractNumId w:val="20"/>
  </w:num>
  <w:num w:numId="26">
    <w:abstractNumId w:val="9"/>
  </w:num>
  <w:num w:numId="27">
    <w:abstractNumId w:val="27"/>
  </w:num>
  <w:num w:numId="28">
    <w:abstractNumId w:val="27"/>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2"/>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8"/>
  </w:num>
  <w:num w:numId="32">
    <w:abstractNumId w:val="14"/>
  </w:num>
  <w:num w:numId="33">
    <w:abstractNumId w:val="39"/>
  </w:num>
  <w:num w:numId="34">
    <w:abstractNumId w:val="11"/>
  </w:num>
  <w:num w:numId="35">
    <w:abstractNumId w:val="12"/>
  </w:num>
  <w:num w:numId="36">
    <w:abstractNumId w:val="16"/>
  </w:num>
  <w:num w:numId="37">
    <w:abstractNumId w:val="26"/>
  </w:num>
  <w:num w:numId="38">
    <w:abstractNumId w:val="1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25"/>
  </w:num>
  <w:num w:numId="44">
    <w:abstractNumId w:val="34"/>
  </w:num>
  <w:num w:numId="45">
    <w:abstractNumId w:val="5"/>
  </w:num>
  <w:num w:numId="46">
    <w:abstractNumId w:val="41"/>
  </w:num>
  <w:num w:numId="47">
    <w:abstractNumId w:val="7"/>
  </w:num>
  <w:num w:numId="4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linkStyles/>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68"/>
    <w:rsid w:val="00224CB7"/>
    <w:rsid w:val="00231010"/>
    <w:rsid w:val="0023608D"/>
    <w:rsid w:val="00242EE7"/>
    <w:rsid w:val="00243C4C"/>
    <w:rsid w:val="002607BF"/>
    <w:rsid w:val="00262FB4"/>
    <w:rsid w:val="00263ACF"/>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0804"/>
    <w:rsid w:val="00332FD3"/>
    <w:rsid w:val="00340116"/>
    <w:rsid w:val="00340C0E"/>
    <w:rsid w:val="00343FC2"/>
    <w:rsid w:val="0035158D"/>
    <w:rsid w:val="003516FB"/>
    <w:rsid w:val="00356FCF"/>
    <w:rsid w:val="0036168E"/>
    <w:rsid w:val="00363119"/>
    <w:rsid w:val="003644B2"/>
    <w:rsid w:val="00365F6B"/>
    <w:rsid w:val="00370E1E"/>
    <w:rsid w:val="00372407"/>
    <w:rsid w:val="003736A6"/>
    <w:rsid w:val="0037421A"/>
    <w:rsid w:val="00393FB8"/>
    <w:rsid w:val="00394DA8"/>
    <w:rsid w:val="00396B74"/>
    <w:rsid w:val="003A1BF5"/>
    <w:rsid w:val="003C0544"/>
    <w:rsid w:val="003C06CC"/>
    <w:rsid w:val="003C323B"/>
    <w:rsid w:val="003D11EE"/>
    <w:rsid w:val="003D3CBC"/>
    <w:rsid w:val="003D445D"/>
    <w:rsid w:val="003D75F8"/>
    <w:rsid w:val="003F1E36"/>
    <w:rsid w:val="003F6D98"/>
    <w:rsid w:val="00405B8D"/>
    <w:rsid w:val="00406A8F"/>
    <w:rsid w:val="00413FB6"/>
    <w:rsid w:val="00434058"/>
    <w:rsid w:val="0043538C"/>
    <w:rsid w:val="00436230"/>
    <w:rsid w:val="004407D5"/>
    <w:rsid w:val="004651A0"/>
    <w:rsid w:val="00467E59"/>
    <w:rsid w:val="0047522B"/>
    <w:rsid w:val="00475BE4"/>
    <w:rsid w:val="00483B14"/>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1BB1"/>
    <w:rsid w:val="006F3381"/>
    <w:rsid w:val="0070392C"/>
    <w:rsid w:val="0070579E"/>
    <w:rsid w:val="00711887"/>
    <w:rsid w:val="00712F6F"/>
    <w:rsid w:val="007138AE"/>
    <w:rsid w:val="007329C5"/>
    <w:rsid w:val="00736433"/>
    <w:rsid w:val="007461A6"/>
    <w:rsid w:val="00747938"/>
    <w:rsid w:val="0075012A"/>
    <w:rsid w:val="00762339"/>
    <w:rsid w:val="00762C0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20E88"/>
    <w:rsid w:val="00826FEE"/>
    <w:rsid w:val="0083254B"/>
    <w:rsid w:val="00840FD6"/>
    <w:rsid w:val="00843E1D"/>
    <w:rsid w:val="00845186"/>
    <w:rsid w:val="00854108"/>
    <w:rsid w:val="00855CB3"/>
    <w:rsid w:val="00871214"/>
    <w:rsid w:val="008734D5"/>
    <w:rsid w:val="00880EA0"/>
    <w:rsid w:val="008B3AE0"/>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529C"/>
    <w:rsid w:val="008F7F9E"/>
    <w:rsid w:val="009043AB"/>
    <w:rsid w:val="009071A1"/>
    <w:rsid w:val="0091613C"/>
    <w:rsid w:val="00923F61"/>
    <w:rsid w:val="009334B5"/>
    <w:rsid w:val="009368C8"/>
    <w:rsid w:val="00936EE1"/>
    <w:rsid w:val="00946D56"/>
    <w:rsid w:val="009517D6"/>
    <w:rsid w:val="0095516B"/>
    <w:rsid w:val="00962441"/>
    <w:rsid w:val="00972C62"/>
    <w:rsid w:val="00990A09"/>
    <w:rsid w:val="009A34EF"/>
    <w:rsid w:val="009A45BB"/>
    <w:rsid w:val="009A45F3"/>
    <w:rsid w:val="009B23B4"/>
    <w:rsid w:val="009B36F5"/>
    <w:rsid w:val="009B4741"/>
    <w:rsid w:val="009B5A3D"/>
    <w:rsid w:val="009B6882"/>
    <w:rsid w:val="009C0B89"/>
    <w:rsid w:val="009D2F18"/>
    <w:rsid w:val="009E21A2"/>
    <w:rsid w:val="009E4053"/>
    <w:rsid w:val="009F650D"/>
    <w:rsid w:val="009F726C"/>
    <w:rsid w:val="009F7CF8"/>
    <w:rsid w:val="009F7DDF"/>
    <w:rsid w:val="00A00AE2"/>
    <w:rsid w:val="00A01C7E"/>
    <w:rsid w:val="00A0758E"/>
    <w:rsid w:val="00A076F6"/>
    <w:rsid w:val="00A112A5"/>
    <w:rsid w:val="00A20E4D"/>
    <w:rsid w:val="00A33796"/>
    <w:rsid w:val="00A34747"/>
    <w:rsid w:val="00A34B35"/>
    <w:rsid w:val="00A372A6"/>
    <w:rsid w:val="00A41281"/>
    <w:rsid w:val="00A74FFD"/>
    <w:rsid w:val="00A75F0C"/>
    <w:rsid w:val="00A77838"/>
    <w:rsid w:val="00A848DA"/>
    <w:rsid w:val="00A871B0"/>
    <w:rsid w:val="00A87410"/>
    <w:rsid w:val="00AA1EB3"/>
    <w:rsid w:val="00AB2098"/>
    <w:rsid w:val="00AB2B5C"/>
    <w:rsid w:val="00AB3C3E"/>
    <w:rsid w:val="00AB3C58"/>
    <w:rsid w:val="00AB649A"/>
    <w:rsid w:val="00AB6774"/>
    <w:rsid w:val="00AF5FCB"/>
    <w:rsid w:val="00B0042D"/>
    <w:rsid w:val="00B033D8"/>
    <w:rsid w:val="00B0739C"/>
    <w:rsid w:val="00B14968"/>
    <w:rsid w:val="00B21A48"/>
    <w:rsid w:val="00B23987"/>
    <w:rsid w:val="00B37617"/>
    <w:rsid w:val="00B403D5"/>
    <w:rsid w:val="00B45060"/>
    <w:rsid w:val="00B47773"/>
    <w:rsid w:val="00B50170"/>
    <w:rsid w:val="00B54199"/>
    <w:rsid w:val="00B5638E"/>
    <w:rsid w:val="00B6166A"/>
    <w:rsid w:val="00B84A83"/>
    <w:rsid w:val="00B9075F"/>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2C6B"/>
    <w:rsid w:val="00CA7DF6"/>
    <w:rsid w:val="00CB2D50"/>
    <w:rsid w:val="00CB3D16"/>
    <w:rsid w:val="00CB6944"/>
    <w:rsid w:val="00CB725F"/>
    <w:rsid w:val="00CC15A8"/>
    <w:rsid w:val="00CC2282"/>
    <w:rsid w:val="00CC7ADC"/>
    <w:rsid w:val="00CD27FB"/>
    <w:rsid w:val="00CF0694"/>
    <w:rsid w:val="00CF3838"/>
    <w:rsid w:val="00CF71F6"/>
    <w:rsid w:val="00D000DB"/>
    <w:rsid w:val="00D0120B"/>
    <w:rsid w:val="00D01AC8"/>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21BA"/>
    <w:rsid w:val="00DA375C"/>
    <w:rsid w:val="00DB6149"/>
    <w:rsid w:val="00DB7772"/>
    <w:rsid w:val="00DC4CD8"/>
    <w:rsid w:val="00DC63BC"/>
    <w:rsid w:val="00DC6F5B"/>
    <w:rsid w:val="00DC7532"/>
    <w:rsid w:val="00DD73EF"/>
    <w:rsid w:val="00DE0FCF"/>
    <w:rsid w:val="00DF0F6F"/>
    <w:rsid w:val="00E0369A"/>
    <w:rsid w:val="00E12B55"/>
    <w:rsid w:val="00E52C4E"/>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32BFD"/>
    <w:rsid w:val="00F32D7E"/>
    <w:rsid w:val="00F46411"/>
    <w:rsid w:val="00F4703A"/>
    <w:rsid w:val="00F5241A"/>
    <w:rsid w:val="00F61588"/>
    <w:rsid w:val="00F7653C"/>
    <w:rsid w:val="00F86708"/>
    <w:rsid w:val="00F87D56"/>
    <w:rsid w:val="00F92924"/>
    <w:rsid w:val="00F92BC2"/>
    <w:rsid w:val="00F93F64"/>
    <w:rsid w:val="00FA10AF"/>
    <w:rsid w:val="00FA247C"/>
    <w:rsid w:val="00FA7462"/>
    <w:rsid w:val="00FB4384"/>
    <w:rsid w:val="00FB5E70"/>
    <w:rsid w:val="00FD61A1"/>
    <w:rsid w:val="00FD691B"/>
    <w:rsid w:val="00FD7D54"/>
    <w:rsid w:val="00FE1C5D"/>
    <w:rsid w:val="00FE34BF"/>
    <w:rsid w:val="00FE7ACB"/>
    <w:rsid w:val="00FF25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9B637CF"/>
  <w15:chartTrackingRefBased/>
  <w15:docId w15:val="{938BD84D-8F8F-4C8A-9BFC-7F50A371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D16"/>
    <w:pPr>
      <w:widowControl w:val="0"/>
      <w:autoSpaceDE w:val="0"/>
      <w:autoSpaceDN w:val="0"/>
      <w:adjustRightInd w:val="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CB3D16"/>
    <w:pPr>
      <w:keepNext/>
      <w:widowControl/>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widowControl/>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widowControl/>
      <w:jc w:val="right"/>
      <w:outlineLvl w:val="3"/>
    </w:pPr>
    <w:rPr>
      <w:rFonts w:eastAsia="Calibri" w:cs="Tahoma"/>
      <w:b/>
      <w:bCs/>
      <w:i/>
      <w:szCs w:val="20"/>
    </w:rPr>
  </w:style>
  <w:style w:type="character" w:default="1" w:styleId="Policepardfaut">
    <w:name w:val="Default Paragraph Font"/>
    <w:uiPriority w:val="1"/>
    <w:unhideWhenUsed/>
    <w:rsid w:val="00CB3D16"/>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CB3D16"/>
  </w:style>
  <w:style w:type="paragraph" w:customStyle="1" w:styleId="Style1">
    <w:name w:val="Style1"/>
    <w:basedOn w:val="Normal"/>
    <w:uiPriority w:val="99"/>
    <w:rsid w:val="00CB3D16"/>
    <w:pPr>
      <w:spacing w:line="525" w:lineRule="exact"/>
      <w:jc w:val="center"/>
    </w:pPr>
  </w:style>
  <w:style w:type="paragraph" w:customStyle="1" w:styleId="Style2">
    <w:name w:val="Style2"/>
    <w:basedOn w:val="Normal"/>
    <w:uiPriority w:val="99"/>
    <w:rsid w:val="00CB3D16"/>
  </w:style>
  <w:style w:type="paragraph" w:customStyle="1" w:styleId="Style3">
    <w:name w:val="Style3"/>
    <w:basedOn w:val="Normal"/>
    <w:uiPriority w:val="99"/>
    <w:rsid w:val="00CB3D16"/>
    <w:pPr>
      <w:spacing w:line="266" w:lineRule="exact"/>
    </w:pPr>
  </w:style>
  <w:style w:type="paragraph" w:customStyle="1" w:styleId="Style4">
    <w:name w:val="Style4"/>
    <w:basedOn w:val="Normal"/>
    <w:uiPriority w:val="99"/>
    <w:rsid w:val="00CB3D16"/>
  </w:style>
  <w:style w:type="paragraph" w:customStyle="1" w:styleId="Style5">
    <w:name w:val="Style5"/>
    <w:basedOn w:val="Normal"/>
    <w:uiPriority w:val="99"/>
    <w:rsid w:val="00CB3D16"/>
    <w:pPr>
      <w:spacing w:line="280" w:lineRule="exact"/>
    </w:pPr>
  </w:style>
  <w:style w:type="paragraph" w:customStyle="1" w:styleId="Style6">
    <w:name w:val="Style6"/>
    <w:basedOn w:val="Normal"/>
    <w:uiPriority w:val="99"/>
    <w:rsid w:val="00CB3D16"/>
    <w:pPr>
      <w:spacing w:line="266" w:lineRule="exact"/>
      <w:ind w:firstLine="825"/>
    </w:pPr>
  </w:style>
  <w:style w:type="paragraph" w:customStyle="1" w:styleId="Style7">
    <w:name w:val="Style7"/>
    <w:basedOn w:val="Normal"/>
    <w:uiPriority w:val="99"/>
    <w:rsid w:val="00CB3D16"/>
    <w:pPr>
      <w:spacing w:line="273" w:lineRule="exact"/>
    </w:pPr>
  </w:style>
  <w:style w:type="paragraph" w:customStyle="1" w:styleId="Style8">
    <w:name w:val="Style8"/>
    <w:basedOn w:val="Normal"/>
    <w:uiPriority w:val="99"/>
    <w:rsid w:val="00CB3D16"/>
    <w:pPr>
      <w:spacing w:line="266" w:lineRule="exact"/>
      <w:ind w:hanging="482"/>
    </w:pPr>
  </w:style>
  <w:style w:type="paragraph" w:customStyle="1" w:styleId="Style9">
    <w:name w:val="Style9"/>
    <w:basedOn w:val="Normal"/>
    <w:uiPriority w:val="99"/>
    <w:rsid w:val="00CB3D16"/>
    <w:pPr>
      <w:spacing w:line="269" w:lineRule="exact"/>
      <w:ind w:firstLine="370"/>
    </w:pPr>
  </w:style>
  <w:style w:type="paragraph" w:customStyle="1" w:styleId="Style10">
    <w:name w:val="Style10"/>
    <w:basedOn w:val="Normal"/>
    <w:uiPriority w:val="99"/>
    <w:rsid w:val="00CB3D16"/>
  </w:style>
  <w:style w:type="paragraph" w:customStyle="1" w:styleId="Style11">
    <w:name w:val="Style11"/>
    <w:basedOn w:val="Normal"/>
    <w:uiPriority w:val="99"/>
    <w:rsid w:val="00CB3D16"/>
  </w:style>
  <w:style w:type="paragraph" w:customStyle="1" w:styleId="Style12">
    <w:name w:val="Style12"/>
    <w:basedOn w:val="Normal"/>
    <w:uiPriority w:val="99"/>
    <w:rsid w:val="00CB3D16"/>
  </w:style>
  <w:style w:type="character" w:customStyle="1" w:styleId="FontStyle14">
    <w:name w:val="Font Style14"/>
    <w:uiPriority w:val="99"/>
    <w:rsid w:val="00CB3D16"/>
    <w:rPr>
      <w:rFonts w:ascii="Arial" w:hAnsi="Arial" w:cs="Arial"/>
      <w:sz w:val="20"/>
      <w:szCs w:val="20"/>
    </w:rPr>
  </w:style>
  <w:style w:type="character" w:customStyle="1" w:styleId="FontStyle15">
    <w:name w:val="Font Style15"/>
    <w:uiPriority w:val="99"/>
    <w:rsid w:val="00CB3D16"/>
    <w:rPr>
      <w:rFonts w:ascii="Arial" w:hAnsi="Arial" w:cs="Arial"/>
      <w:b/>
      <w:bCs/>
      <w:sz w:val="20"/>
      <w:szCs w:val="20"/>
    </w:rPr>
  </w:style>
  <w:style w:type="character" w:customStyle="1" w:styleId="FontStyle16">
    <w:name w:val="Font Style16"/>
    <w:uiPriority w:val="99"/>
    <w:rsid w:val="00CB3D16"/>
    <w:rPr>
      <w:rFonts w:ascii="Arial" w:hAnsi="Arial" w:cs="Arial"/>
      <w:sz w:val="26"/>
      <w:szCs w:val="26"/>
    </w:rPr>
  </w:style>
  <w:style w:type="character" w:customStyle="1" w:styleId="FontStyle17">
    <w:name w:val="Font Style17"/>
    <w:uiPriority w:val="99"/>
    <w:rsid w:val="00CB3D16"/>
    <w:rPr>
      <w:rFonts w:ascii="Arial" w:hAnsi="Arial" w:cs="Arial"/>
      <w:b/>
      <w:bCs/>
      <w:sz w:val="18"/>
      <w:szCs w:val="18"/>
    </w:rPr>
  </w:style>
  <w:style w:type="character" w:customStyle="1" w:styleId="FontStyle18">
    <w:name w:val="Font Style18"/>
    <w:uiPriority w:val="99"/>
    <w:rsid w:val="00CB3D16"/>
    <w:rPr>
      <w:rFonts w:ascii="Arial" w:hAnsi="Arial" w:cs="Arial"/>
      <w:sz w:val="18"/>
      <w:szCs w:val="18"/>
    </w:rPr>
  </w:style>
  <w:style w:type="character" w:customStyle="1" w:styleId="FontStyle19">
    <w:name w:val="Font Style19"/>
    <w:uiPriority w:val="99"/>
    <w:rsid w:val="00CB3D16"/>
    <w:rPr>
      <w:rFonts w:ascii="Arial" w:hAnsi="Arial" w:cs="Arial"/>
      <w:sz w:val="16"/>
      <w:szCs w:val="16"/>
    </w:rPr>
  </w:style>
  <w:style w:type="paragraph" w:styleId="Sansinterligne">
    <w:name w:val="No Spacing"/>
    <w:link w:val="SansinterligneCar"/>
    <w:uiPriority w:val="1"/>
    <w:rsid w:val="00CB3D16"/>
    <w:pPr>
      <w:widowControl w:val="0"/>
      <w:autoSpaceDE w:val="0"/>
      <w:autoSpaceDN w:val="0"/>
      <w:adjustRightInd w:val="0"/>
    </w:pPr>
    <w:rPr>
      <w:rFonts w:ascii="Times New Roman" w:eastAsia="Times New Roman" w:hAnsi="Times New Roman" w:cs="Calibri"/>
      <w:sz w:val="24"/>
      <w:szCs w:val="24"/>
    </w:rPr>
  </w:style>
  <w:style w:type="paragraph" w:styleId="En-tte">
    <w:name w:val="header"/>
    <w:basedOn w:val="Normal"/>
    <w:link w:val="En-tteCar"/>
    <w:uiPriority w:val="99"/>
    <w:unhideWhenUsed/>
    <w:rsid w:val="00CB3D16"/>
    <w:pPr>
      <w:tabs>
        <w:tab w:val="center" w:pos="4536"/>
        <w:tab w:val="right" w:pos="9072"/>
      </w:tabs>
    </w:pPr>
  </w:style>
  <w:style w:type="character" w:customStyle="1" w:styleId="En-tteCar">
    <w:name w:val="En-tête Car"/>
    <w:link w:val="En-tte"/>
    <w:uiPriority w:val="99"/>
    <w:rsid w:val="00CB3D16"/>
    <w:rPr>
      <w:rFonts w:ascii="Tahoma" w:eastAsia="Times New Roman" w:hAnsi="Tahoma" w:cs="Calibri"/>
      <w:szCs w:val="24"/>
    </w:rPr>
  </w:style>
  <w:style w:type="paragraph" w:styleId="Pieddepage">
    <w:name w:val="footer"/>
    <w:basedOn w:val="Normal"/>
    <w:link w:val="PieddepageCar"/>
    <w:uiPriority w:val="99"/>
    <w:unhideWhenUsed/>
    <w:rsid w:val="00CB3D16"/>
    <w:pPr>
      <w:tabs>
        <w:tab w:val="center" w:pos="4536"/>
        <w:tab w:val="right" w:pos="9072"/>
      </w:tabs>
    </w:pPr>
  </w:style>
  <w:style w:type="character" w:customStyle="1" w:styleId="PieddepageCar">
    <w:name w:val="Pied de page Car"/>
    <w:link w:val="Pieddepage"/>
    <w:uiPriority w:val="99"/>
    <w:rsid w:val="00CB3D16"/>
    <w:rPr>
      <w:rFonts w:ascii="Tahoma" w:eastAsia="Times New Roman" w:hAnsi="Tahoma" w:cs="Calibri"/>
      <w:szCs w:val="24"/>
    </w:rPr>
  </w:style>
  <w:style w:type="character" w:customStyle="1" w:styleId="Titre2Car">
    <w:name w:val="Titre 2 Car"/>
    <w:link w:val="Titre2"/>
    <w:rsid w:val="00CB3D16"/>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CB3D16"/>
    <w:rPr>
      <w:rFonts w:ascii="Times New Roman" w:eastAsia="Times New Roman" w:hAnsi="Times New Roman" w:cs="Calibri"/>
      <w:sz w:val="24"/>
      <w:szCs w:val="24"/>
    </w:rPr>
  </w:style>
  <w:style w:type="paragraph" w:styleId="Paragraphedeliste">
    <w:name w:val="List Paragraph"/>
    <w:basedOn w:val="Normal"/>
    <w:uiPriority w:val="34"/>
    <w:rsid w:val="00CB3D16"/>
    <w:pPr>
      <w:ind w:left="708"/>
    </w:pPr>
  </w:style>
  <w:style w:type="paragraph" w:customStyle="1" w:styleId="Questions">
    <w:name w:val="Questions"/>
    <w:basedOn w:val="Normal"/>
    <w:link w:val="QuestionsCar"/>
    <w:autoRedefine/>
    <w:qFormat/>
    <w:rsid w:val="00CB3D16"/>
    <w:pPr>
      <w:widowControl/>
      <w:numPr>
        <w:numId w:val="5"/>
      </w:numPr>
      <w:tabs>
        <w:tab w:val="left" w:pos="412"/>
      </w:tabs>
      <w:spacing w:before="5" w:after="120"/>
    </w:pPr>
    <w:rPr>
      <w:rFonts w:cs="Tahoma"/>
      <w:b/>
      <w:sz w:val="24"/>
    </w:rPr>
  </w:style>
  <w:style w:type="character" w:customStyle="1" w:styleId="QuestionsCar">
    <w:name w:val="Questions Car"/>
    <w:link w:val="Questions"/>
    <w:rsid w:val="00CB3D16"/>
    <w:rPr>
      <w:rFonts w:ascii="Tahoma" w:eastAsia="Times New Roman" w:hAnsi="Tahoma" w:cs="Tahoma"/>
      <w:b/>
      <w:sz w:val="24"/>
      <w:szCs w:val="24"/>
    </w:rPr>
  </w:style>
  <w:style w:type="paragraph" w:customStyle="1" w:styleId="TAF">
    <w:name w:val="TAF"/>
    <w:basedOn w:val="Sansinterligne"/>
    <w:link w:val="TAFCar"/>
    <w:qFormat/>
    <w:rsid w:val="00CB3D16"/>
    <w:pPr>
      <w:jc w:val="center"/>
    </w:pPr>
    <w:rPr>
      <w:rFonts w:ascii="Tahoma" w:hAnsi="Tahoma" w:cs="Tahoma"/>
      <w:b/>
      <w:sz w:val="20"/>
      <w:szCs w:val="20"/>
      <w:u w:val="single"/>
    </w:rPr>
  </w:style>
  <w:style w:type="character" w:customStyle="1" w:styleId="TAFCar">
    <w:name w:val="TAF Car"/>
    <w:link w:val="TAF"/>
    <w:rsid w:val="00CB3D16"/>
    <w:rPr>
      <w:rFonts w:ascii="Tahoma" w:eastAsia="Times New Roman" w:hAnsi="Tahoma" w:cs="Tahoma"/>
      <w:b/>
      <w:u w:val="single"/>
    </w:rPr>
  </w:style>
  <w:style w:type="paragraph" w:customStyle="1" w:styleId="Lettres">
    <w:name w:val="Lettres"/>
    <w:basedOn w:val="Normal"/>
    <w:link w:val="LettresCar"/>
    <w:qFormat/>
    <w:rsid w:val="00CB3D16"/>
    <w:pPr>
      <w:numPr>
        <w:numId w:val="1"/>
      </w:numPr>
      <w:spacing w:after="60"/>
    </w:pPr>
    <w:rPr>
      <w:b/>
      <w:sz w:val="24"/>
    </w:rPr>
  </w:style>
  <w:style w:type="character" w:customStyle="1" w:styleId="LettresCar">
    <w:name w:val="Lettres Car"/>
    <w:link w:val="Lettres"/>
    <w:rsid w:val="00CB3D16"/>
    <w:rPr>
      <w:rFonts w:ascii="Tahoma" w:eastAsia="Times New Roman" w:hAnsi="Tahoma" w:cs="Calibri"/>
      <w:b/>
      <w:sz w:val="24"/>
      <w:szCs w:val="24"/>
    </w:rPr>
  </w:style>
  <w:style w:type="paragraph" w:styleId="Titre">
    <w:name w:val="Title"/>
    <w:basedOn w:val="Normal"/>
    <w:next w:val="Normal"/>
    <w:link w:val="TitreCar"/>
    <w:uiPriority w:val="10"/>
    <w:qFormat/>
    <w:rsid w:val="00CB3D16"/>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CB3D16"/>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CB3D16"/>
    <w:pPr>
      <w:spacing w:after="60"/>
      <w:jc w:val="center"/>
      <w:outlineLvl w:val="1"/>
    </w:pPr>
    <w:rPr>
      <w:rFonts w:ascii="Cambria" w:hAnsi="Cambria"/>
    </w:rPr>
  </w:style>
  <w:style w:type="character" w:customStyle="1" w:styleId="Sous-titreCar">
    <w:name w:val="Sous-titre Car"/>
    <w:link w:val="Sous-titre"/>
    <w:uiPriority w:val="11"/>
    <w:rsid w:val="00CB3D16"/>
    <w:rPr>
      <w:rFonts w:ascii="Cambria" w:eastAsia="Times New Roman" w:hAnsi="Cambria" w:cs="Calibri"/>
      <w:szCs w:val="24"/>
    </w:rPr>
  </w:style>
  <w:style w:type="table" w:styleId="Grilledutableau">
    <w:name w:val="Table Grid"/>
    <w:basedOn w:val="TableauNormal"/>
    <w:uiPriority w:val="59"/>
    <w:rsid w:val="00CB3D16"/>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CB3D16"/>
    <w:rPr>
      <w:rFonts w:ascii="Times New Roman" w:hAnsi="Times New Roman" w:cs="Times New Roman"/>
      <w:b/>
      <w:bCs/>
      <w:sz w:val="20"/>
      <w:szCs w:val="20"/>
    </w:rPr>
  </w:style>
  <w:style w:type="paragraph" w:customStyle="1" w:styleId="Style14">
    <w:name w:val="Style14"/>
    <w:basedOn w:val="Normal"/>
    <w:link w:val="Style14Car"/>
    <w:uiPriority w:val="99"/>
    <w:rsid w:val="00CB3D16"/>
    <w:pPr>
      <w:spacing w:line="252" w:lineRule="exact"/>
      <w:ind w:hanging="405"/>
    </w:pPr>
  </w:style>
  <w:style w:type="character" w:customStyle="1" w:styleId="FontStyle21">
    <w:name w:val="Font Style21"/>
    <w:uiPriority w:val="99"/>
    <w:rsid w:val="00CB3D16"/>
    <w:rPr>
      <w:rFonts w:ascii="Book Antiqua" w:hAnsi="Book Antiqua" w:cs="Book Antiqua"/>
      <w:spacing w:val="20"/>
      <w:sz w:val="20"/>
      <w:szCs w:val="20"/>
    </w:rPr>
  </w:style>
  <w:style w:type="character" w:customStyle="1" w:styleId="FontStyle22">
    <w:name w:val="Font Style22"/>
    <w:uiPriority w:val="99"/>
    <w:rsid w:val="00CB3D16"/>
    <w:rPr>
      <w:rFonts w:ascii="Arial" w:hAnsi="Arial" w:cs="Arial"/>
      <w:b/>
      <w:bCs/>
      <w:spacing w:val="20"/>
      <w:sz w:val="18"/>
      <w:szCs w:val="18"/>
    </w:rPr>
  </w:style>
  <w:style w:type="character" w:customStyle="1" w:styleId="FontStyle13">
    <w:name w:val="Font Style13"/>
    <w:uiPriority w:val="99"/>
    <w:rsid w:val="00CB3D16"/>
    <w:rPr>
      <w:rFonts w:ascii="Arial Unicode MS" w:eastAsia="Arial Unicode MS" w:cs="Arial Unicode MS"/>
      <w:sz w:val="20"/>
      <w:szCs w:val="20"/>
    </w:rPr>
  </w:style>
  <w:style w:type="character" w:customStyle="1" w:styleId="FontStyle12">
    <w:name w:val="Font Style12"/>
    <w:uiPriority w:val="99"/>
    <w:rsid w:val="00CB3D16"/>
    <w:rPr>
      <w:rFonts w:ascii="Arial Unicode MS" w:eastAsia="Arial Unicode MS" w:cs="Arial Unicode MS"/>
      <w:b/>
      <w:bCs/>
      <w:sz w:val="20"/>
      <w:szCs w:val="20"/>
    </w:rPr>
  </w:style>
  <w:style w:type="character" w:customStyle="1" w:styleId="FontStyle23">
    <w:name w:val="Font Style23"/>
    <w:uiPriority w:val="99"/>
    <w:rsid w:val="00CB3D16"/>
    <w:rPr>
      <w:rFonts w:ascii="Times New Roman" w:hAnsi="Times New Roman" w:cs="Times New Roman"/>
      <w:sz w:val="20"/>
      <w:szCs w:val="20"/>
    </w:rPr>
  </w:style>
  <w:style w:type="character" w:customStyle="1" w:styleId="FontStyle24">
    <w:name w:val="Font Style24"/>
    <w:uiPriority w:val="99"/>
    <w:rsid w:val="00CB3D16"/>
    <w:rPr>
      <w:rFonts w:ascii="Tahoma" w:hAnsi="Tahoma" w:cs="Tahoma"/>
      <w:b/>
      <w:bCs/>
      <w:sz w:val="22"/>
      <w:szCs w:val="22"/>
    </w:rPr>
  </w:style>
  <w:style w:type="character" w:customStyle="1" w:styleId="FontStyle25">
    <w:name w:val="Font Style25"/>
    <w:uiPriority w:val="99"/>
    <w:rsid w:val="00CB3D16"/>
    <w:rPr>
      <w:rFonts w:ascii="Times New Roman" w:hAnsi="Times New Roman" w:cs="Times New Roman"/>
      <w:b/>
      <w:bCs/>
      <w:i/>
      <w:iCs/>
      <w:sz w:val="20"/>
      <w:szCs w:val="20"/>
    </w:rPr>
  </w:style>
  <w:style w:type="paragraph" w:customStyle="1" w:styleId="Style13">
    <w:name w:val="Style13"/>
    <w:basedOn w:val="Normal"/>
    <w:uiPriority w:val="99"/>
    <w:rsid w:val="00CB3D16"/>
  </w:style>
  <w:style w:type="character" w:customStyle="1" w:styleId="FontStyle26">
    <w:name w:val="Font Style26"/>
    <w:uiPriority w:val="99"/>
    <w:rsid w:val="00CB3D16"/>
    <w:rPr>
      <w:rFonts w:ascii="Times New Roman" w:hAnsi="Times New Roman" w:cs="Times New Roman"/>
      <w:i/>
      <w:iCs/>
      <w:sz w:val="20"/>
      <w:szCs w:val="20"/>
    </w:rPr>
  </w:style>
  <w:style w:type="paragraph" w:customStyle="1" w:styleId="AnneSujet">
    <w:name w:val="AnnéeSujet"/>
    <w:basedOn w:val="Titre"/>
    <w:link w:val="AnneSujetCar"/>
    <w:qFormat/>
    <w:rsid w:val="00CB3D16"/>
    <w:rPr>
      <w:rFonts w:ascii="Tahoma" w:hAnsi="Tahoma" w:cs="Tahoma"/>
      <w:b/>
      <w:sz w:val="36"/>
      <w:szCs w:val="36"/>
    </w:rPr>
  </w:style>
  <w:style w:type="paragraph" w:customStyle="1" w:styleId="Dossier">
    <w:name w:val="Dossier"/>
    <w:basedOn w:val="Normal"/>
    <w:autoRedefine/>
    <w:uiPriority w:val="99"/>
    <w:rsid w:val="00CB3D16"/>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CB3D16"/>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CB3D16"/>
  </w:style>
  <w:style w:type="paragraph" w:customStyle="1" w:styleId="Style16">
    <w:name w:val="Style16"/>
    <w:basedOn w:val="Normal"/>
    <w:uiPriority w:val="99"/>
    <w:rsid w:val="00CB3D16"/>
    <w:pPr>
      <w:spacing w:line="273" w:lineRule="exact"/>
      <w:ind w:hanging="412"/>
    </w:pPr>
  </w:style>
  <w:style w:type="paragraph" w:customStyle="1" w:styleId="Style17">
    <w:name w:val="Style17"/>
    <w:basedOn w:val="Normal"/>
    <w:uiPriority w:val="99"/>
    <w:rsid w:val="00CB3D16"/>
    <w:pPr>
      <w:spacing w:line="280" w:lineRule="exact"/>
      <w:jc w:val="center"/>
    </w:pPr>
  </w:style>
  <w:style w:type="character" w:customStyle="1" w:styleId="FontStyle27">
    <w:name w:val="Font Style27"/>
    <w:uiPriority w:val="99"/>
    <w:rsid w:val="00CB3D16"/>
    <w:rPr>
      <w:rFonts w:ascii="Arial" w:hAnsi="Arial" w:cs="Arial"/>
      <w:b/>
      <w:bCs/>
      <w:sz w:val="20"/>
      <w:szCs w:val="20"/>
    </w:rPr>
  </w:style>
  <w:style w:type="paragraph" w:customStyle="1" w:styleId="Style18">
    <w:name w:val="Style18"/>
    <w:basedOn w:val="Normal"/>
    <w:uiPriority w:val="99"/>
    <w:rsid w:val="00CB3D16"/>
  </w:style>
  <w:style w:type="character" w:customStyle="1" w:styleId="FontStyle29">
    <w:name w:val="Font Style29"/>
    <w:uiPriority w:val="99"/>
    <w:rsid w:val="00CB3D16"/>
    <w:rPr>
      <w:rFonts w:ascii="Times New Roman" w:hAnsi="Times New Roman" w:cs="Times New Roman"/>
      <w:b/>
      <w:bCs/>
      <w:sz w:val="22"/>
      <w:szCs w:val="22"/>
    </w:rPr>
  </w:style>
  <w:style w:type="paragraph" w:customStyle="1" w:styleId="Question">
    <w:name w:val="Question"/>
    <w:basedOn w:val="Style14"/>
    <w:link w:val="QuestionCar1"/>
    <w:rsid w:val="00CB3D16"/>
    <w:pPr>
      <w:widowControl/>
      <w:tabs>
        <w:tab w:val="left" w:pos="412"/>
      </w:tabs>
      <w:spacing w:before="5" w:after="120" w:line="240" w:lineRule="auto"/>
      <w:ind w:left="714" w:hanging="357"/>
    </w:pPr>
    <w:rPr>
      <w:rFonts w:cs="Tahoma"/>
    </w:rPr>
  </w:style>
  <w:style w:type="character" w:customStyle="1" w:styleId="Style14Car">
    <w:name w:val="Style14 Car"/>
    <w:link w:val="Style14"/>
    <w:uiPriority w:val="99"/>
    <w:rsid w:val="00CB3D16"/>
    <w:rPr>
      <w:rFonts w:ascii="Tahoma" w:eastAsia="Times New Roman" w:hAnsi="Tahoma" w:cs="Calibri"/>
      <w:szCs w:val="24"/>
    </w:rPr>
  </w:style>
  <w:style w:type="character" w:customStyle="1" w:styleId="QuestionCar">
    <w:name w:val="Question Car"/>
    <w:rsid w:val="00CB3D16"/>
    <w:rPr>
      <w:rFonts w:ascii="Times New Roman" w:eastAsia="Times New Roman" w:hAnsi="Times New Roman"/>
      <w:sz w:val="24"/>
      <w:szCs w:val="24"/>
    </w:rPr>
  </w:style>
  <w:style w:type="character" w:customStyle="1" w:styleId="QuestionCar1">
    <w:name w:val="Question Car1"/>
    <w:link w:val="Question"/>
    <w:rsid w:val="00CB3D16"/>
    <w:rPr>
      <w:rFonts w:ascii="Tahoma" w:eastAsia="Times New Roman" w:hAnsi="Tahoma" w:cs="Tahoma"/>
      <w:szCs w:val="24"/>
    </w:rPr>
  </w:style>
  <w:style w:type="paragraph" w:customStyle="1" w:styleId="Partie">
    <w:name w:val="Partie"/>
    <w:basedOn w:val="Normal"/>
    <w:link w:val="PartieCar"/>
    <w:qFormat/>
    <w:rsid w:val="00CB3D16"/>
    <w:rPr>
      <w:rFonts w:cs="Tahoma"/>
      <w:b/>
      <w:sz w:val="24"/>
      <w:u w:val="single"/>
    </w:rPr>
  </w:style>
  <w:style w:type="character" w:customStyle="1" w:styleId="PartieCar">
    <w:name w:val="Partie Car"/>
    <w:link w:val="Partie"/>
    <w:rsid w:val="00CB3D16"/>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CB3D16"/>
    <w:pPr>
      <w:numPr>
        <w:numId w:val="3"/>
      </w:numPr>
      <w:spacing w:after="202" w:line="276" w:lineRule="auto"/>
    </w:pPr>
    <w:rPr>
      <w:rFonts w:cs="Tahoma"/>
      <w:color w:val="000000"/>
      <w:szCs w:val="20"/>
    </w:rPr>
  </w:style>
  <w:style w:type="character" w:customStyle="1" w:styleId="QuestionsManaCar">
    <w:name w:val="QuestionsMana Car"/>
    <w:link w:val="QuestionsMana"/>
    <w:locked/>
    <w:rsid w:val="00CB3D16"/>
    <w:rPr>
      <w:rFonts w:ascii="Tahoma" w:eastAsia="Times New Roman" w:hAnsi="Tahoma" w:cs="Tahoma"/>
      <w:color w:val="000000"/>
    </w:rPr>
  </w:style>
  <w:style w:type="paragraph" w:customStyle="1" w:styleId="AnnexeMana">
    <w:name w:val="AnnexeMana"/>
    <w:basedOn w:val="Normal"/>
    <w:link w:val="AnnexeManaCar"/>
    <w:qFormat/>
    <w:rsid w:val="00CB3D16"/>
    <w:pPr>
      <w:spacing w:line="276" w:lineRule="auto"/>
    </w:pPr>
    <w:rPr>
      <w:rFonts w:cs="Tahoma"/>
      <w:b/>
      <w:bCs/>
      <w:color w:val="000000"/>
      <w:sz w:val="22"/>
      <w:szCs w:val="20"/>
      <w:u w:val="single"/>
    </w:rPr>
  </w:style>
  <w:style w:type="character" w:customStyle="1" w:styleId="AnnexeManaCar">
    <w:name w:val="AnnexeMana Car"/>
    <w:link w:val="AnnexeMana"/>
    <w:locked/>
    <w:rsid w:val="00CB3D16"/>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pPr>
      <w:widowControl/>
    </w:pPr>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autoSpaceDE/>
      <w:autoSpaceDN/>
      <w:adjustRightInd/>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85215-30E7-4D14-B1D6-46282970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30</TotalTime>
  <Pages>4</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5594</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http://www.stgcfe.fr;www.stmg.education</dc:creator>
  <cp:keywords/>
  <cp:lastModifiedBy>cornette.j@wanadoo.fr</cp:lastModifiedBy>
  <cp:revision>4</cp:revision>
  <dcterms:created xsi:type="dcterms:W3CDTF">2016-09-22T09:10:00Z</dcterms:created>
  <dcterms:modified xsi:type="dcterms:W3CDTF">2016-09-23T23:23:00Z</dcterms:modified>
</cp:coreProperties>
</file>