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E4" w:rsidRPr="00A41548" w:rsidRDefault="0042023B">
      <w:pPr>
        <w:pStyle w:val="Titre2"/>
        <w:rPr>
          <w:lang w:val="fr-FR"/>
        </w:rPr>
      </w:pPr>
      <w:r w:rsidRPr="00A41548">
        <w:rPr>
          <w:lang w:val="fr-FR"/>
        </w:rPr>
        <w:t>Baccalauréat technologique</w:t>
      </w:r>
    </w:p>
    <w:p w:rsidR="00D312E4" w:rsidRPr="00A41548" w:rsidRDefault="0042023B">
      <w:pPr>
        <w:spacing w:before="119" w:line="360" w:lineRule="auto"/>
        <w:ind w:left="720" w:right="725"/>
        <w:jc w:val="center"/>
        <w:rPr>
          <w:rFonts w:ascii="Times New Roman"/>
          <w:b/>
          <w:sz w:val="36"/>
          <w:lang w:val="fr-FR"/>
        </w:rPr>
      </w:pPr>
      <w:r w:rsidRPr="00A41548">
        <w:rPr>
          <w:rFonts w:ascii="Times New Roman"/>
          <w:b/>
          <w:sz w:val="36"/>
          <w:lang w:val="fr-FR"/>
        </w:rPr>
        <w:t>Sciences et technologies du management et de la gestion (STMG)</w:t>
      </w:r>
    </w:p>
    <w:p w:rsidR="00D312E4" w:rsidRPr="00A41548" w:rsidRDefault="00D312E4">
      <w:pPr>
        <w:pStyle w:val="Corpsdetexte"/>
        <w:rPr>
          <w:rFonts w:ascii="Times New Roman"/>
          <w:b/>
          <w:sz w:val="40"/>
          <w:lang w:val="fr-FR"/>
        </w:rPr>
      </w:pPr>
    </w:p>
    <w:p w:rsidR="00D312E4" w:rsidRPr="00A41548" w:rsidRDefault="00D312E4">
      <w:pPr>
        <w:pStyle w:val="Corpsdetexte"/>
        <w:rPr>
          <w:rFonts w:ascii="Times New Roman"/>
          <w:b/>
          <w:sz w:val="40"/>
          <w:lang w:val="fr-FR"/>
        </w:rPr>
      </w:pPr>
    </w:p>
    <w:p w:rsidR="00D312E4" w:rsidRPr="00A41548" w:rsidRDefault="00D312E4">
      <w:pPr>
        <w:pStyle w:val="Corpsdetexte"/>
        <w:rPr>
          <w:rFonts w:ascii="Times New Roman"/>
          <w:b/>
          <w:sz w:val="40"/>
          <w:lang w:val="fr-FR"/>
        </w:rPr>
      </w:pPr>
    </w:p>
    <w:p w:rsidR="00D312E4" w:rsidRPr="00A41548" w:rsidRDefault="0042023B">
      <w:pPr>
        <w:spacing w:before="247"/>
        <w:ind w:left="720" w:right="720"/>
        <w:jc w:val="center"/>
        <w:rPr>
          <w:rFonts w:ascii="Times New Roman" w:hAnsi="Times New Roman"/>
          <w:b/>
          <w:sz w:val="48"/>
          <w:lang w:val="fr-FR"/>
        </w:rPr>
      </w:pPr>
      <w:r w:rsidRPr="00A41548">
        <w:rPr>
          <w:rFonts w:ascii="Times New Roman" w:hAnsi="Times New Roman"/>
          <w:b/>
          <w:sz w:val="48"/>
          <w:lang w:val="fr-FR"/>
        </w:rPr>
        <w:t>Spécialité mercatique</w:t>
      </w:r>
    </w:p>
    <w:p w:rsidR="00D312E4" w:rsidRPr="00A41548" w:rsidRDefault="0042023B">
      <w:pPr>
        <w:pStyle w:val="Titre1"/>
        <w:spacing w:before="396"/>
        <w:ind w:right="721"/>
        <w:rPr>
          <w:lang w:val="fr-FR"/>
        </w:rPr>
      </w:pPr>
      <w:r w:rsidRPr="00A41548">
        <w:rPr>
          <w:lang w:val="fr-FR"/>
        </w:rPr>
        <w:t>SESSION 2017</w:t>
      </w:r>
    </w:p>
    <w:p w:rsidR="00D312E4" w:rsidRPr="00A41548" w:rsidRDefault="00D312E4">
      <w:pPr>
        <w:pStyle w:val="Corpsdetexte"/>
        <w:spacing w:before="4"/>
        <w:rPr>
          <w:rFonts w:ascii="Times New Roman"/>
          <w:b/>
          <w:sz w:val="44"/>
          <w:lang w:val="fr-FR"/>
        </w:rPr>
      </w:pPr>
    </w:p>
    <w:p w:rsidR="00D312E4" w:rsidRPr="00A41548" w:rsidRDefault="0042023B">
      <w:pPr>
        <w:ind w:left="720" w:right="720"/>
        <w:jc w:val="center"/>
        <w:rPr>
          <w:rFonts w:ascii="Times New Roman" w:hAnsi="Times New Roman"/>
          <w:b/>
          <w:sz w:val="52"/>
          <w:lang w:val="fr-FR"/>
        </w:rPr>
      </w:pPr>
      <w:r w:rsidRPr="00A41548">
        <w:rPr>
          <w:rFonts w:ascii="Times New Roman" w:hAnsi="Times New Roman"/>
          <w:b/>
          <w:sz w:val="52"/>
          <w:lang w:val="fr-FR"/>
        </w:rPr>
        <w:t>Épreuve de second groupe</w:t>
      </w:r>
    </w:p>
    <w:p w:rsidR="00D312E4" w:rsidRPr="00A41548" w:rsidRDefault="00D312E4">
      <w:pPr>
        <w:pStyle w:val="Corpsdetexte"/>
        <w:spacing w:before="11"/>
        <w:rPr>
          <w:rFonts w:ascii="Times New Roman"/>
          <w:b/>
          <w:sz w:val="86"/>
          <w:lang w:val="fr-FR"/>
        </w:rPr>
      </w:pPr>
    </w:p>
    <w:p w:rsidR="00D312E4" w:rsidRPr="00A41548" w:rsidRDefault="0042023B">
      <w:pPr>
        <w:pStyle w:val="Titre1"/>
        <w:rPr>
          <w:rFonts w:ascii="Arial" w:hAnsi="Arial"/>
          <w:lang w:val="fr-FR"/>
        </w:rPr>
      </w:pPr>
      <w:r w:rsidRPr="00A41548">
        <w:rPr>
          <w:rFonts w:ascii="Arial" w:hAnsi="Arial"/>
          <w:lang w:val="fr-FR"/>
        </w:rPr>
        <w:t>Sujet n° 13</w:t>
      </w:r>
    </w:p>
    <w:p w:rsidR="00D312E4" w:rsidRPr="00A41548" w:rsidRDefault="00D312E4">
      <w:pPr>
        <w:pStyle w:val="Corpsdetexte"/>
        <w:spacing w:before="4"/>
        <w:rPr>
          <w:b/>
          <w:sz w:val="60"/>
          <w:lang w:val="fr-FR"/>
        </w:rPr>
      </w:pPr>
    </w:p>
    <w:p w:rsidR="00D312E4" w:rsidRPr="00A41548" w:rsidRDefault="0042023B">
      <w:pPr>
        <w:spacing w:line="343" w:lineRule="auto"/>
        <w:ind w:left="1968" w:right="1969"/>
        <w:jc w:val="center"/>
        <w:rPr>
          <w:rFonts w:ascii="Times New Roman" w:hAnsi="Times New Roman"/>
          <w:i/>
          <w:sz w:val="24"/>
          <w:lang w:val="fr-FR"/>
        </w:rPr>
      </w:pPr>
      <w:r w:rsidRPr="00A41548">
        <w:rPr>
          <w:rFonts w:ascii="Times New Roman" w:hAnsi="Times New Roman"/>
          <w:i/>
          <w:sz w:val="24"/>
          <w:lang w:val="fr-FR"/>
        </w:rPr>
        <w:t>Durée : 40 minutes de préparation, 20 minutes d’interrogation Coefficient : 6</w:t>
      </w:r>
    </w:p>
    <w:p w:rsidR="00D312E4" w:rsidRPr="00A41548" w:rsidRDefault="00D312E4">
      <w:pPr>
        <w:pStyle w:val="Corpsdetexte"/>
        <w:rPr>
          <w:rFonts w:ascii="Times New Roman"/>
          <w:i/>
          <w:sz w:val="26"/>
          <w:lang w:val="fr-FR"/>
        </w:rPr>
      </w:pPr>
    </w:p>
    <w:p w:rsidR="00D312E4" w:rsidRPr="00A41548" w:rsidRDefault="00D312E4">
      <w:pPr>
        <w:pStyle w:val="Corpsdetexte"/>
        <w:rPr>
          <w:rFonts w:ascii="Times New Roman"/>
          <w:i/>
          <w:sz w:val="26"/>
          <w:lang w:val="fr-FR"/>
        </w:rPr>
      </w:pPr>
    </w:p>
    <w:p w:rsidR="00D312E4" w:rsidRPr="00A41548" w:rsidRDefault="00D312E4">
      <w:pPr>
        <w:pStyle w:val="Corpsdetexte"/>
        <w:rPr>
          <w:rFonts w:ascii="Times New Roman"/>
          <w:i/>
          <w:sz w:val="26"/>
          <w:lang w:val="fr-FR"/>
        </w:rPr>
      </w:pPr>
    </w:p>
    <w:p w:rsidR="00D312E4" w:rsidRPr="00A41548" w:rsidRDefault="00D312E4">
      <w:pPr>
        <w:pStyle w:val="Corpsdetexte"/>
        <w:rPr>
          <w:rFonts w:ascii="Times New Roman"/>
          <w:i/>
          <w:sz w:val="26"/>
          <w:lang w:val="fr-FR"/>
        </w:rPr>
      </w:pPr>
    </w:p>
    <w:p w:rsidR="00D312E4" w:rsidRPr="00A41548" w:rsidRDefault="00D312E4">
      <w:pPr>
        <w:pStyle w:val="Corpsdetexte"/>
        <w:rPr>
          <w:rFonts w:ascii="Times New Roman"/>
          <w:i/>
          <w:sz w:val="26"/>
          <w:lang w:val="fr-FR"/>
        </w:rPr>
      </w:pPr>
    </w:p>
    <w:p w:rsidR="00D312E4" w:rsidRPr="00A41548" w:rsidRDefault="00D312E4">
      <w:pPr>
        <w:pStyle w:val="Corpsdetexte"/>
        <w:rPr>
          <w:rFonts w:ascii="Times New Roman"/>
          <w:i/>
          <w:sz w:val="26"/>
          <w:lang w:val="fr-FR"/>
        </w:rPr>
      </w:pPr>
    </w:p>
    <w:p w:rsidR="00D312E4" w:rsidRPr="00A41548" w:rsidRDefault="00D312E4">
      <w:pPr>
        <w:pStyle w:val="Corpsdetexte"/>
        <w:rPr>
          <w:rFonts w:ascii="Times New Roman"/>
          <w:i/>
          <w:sz w:val="26"/>
          <w:lang w:val="fr-FR"/>
        </w:rPr>
      </w:pPr>
    </w:p>
    <w:p w:rsidR="00D312E4" w:rsidRPr="00A41548" w:rsidRDefault="0042023B">
      <w:pPr>
        <w:spacing w:before="174"/>
        <w:ind w:left="172" w:right="173"/>
        <w:jc w:val="both"/>
        <w:rPr>
          <w:rFonts w:ascii="Times New Roman" w:hAnsi="Times New Roman"/>
          <w:i/>
          <w:sz w:val="24"/>
          <w:lang w:val="fr-FR"/>
        </w:rPr>
      </w:pPr>
      <w:r w:rsidRPr="00A41548">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D312E4" w:rsidRPr="00A41548" w:rsidRDefault="00D312E4">
      <w:pPr>
        <w:jc w:val="both"/>
        <w:rPr>
          <w:rFonts w:ascii="Times New Roman" w:hAnsi="Times New Roman"/>
          <w:sz w:val="24"/>
          <w:lang w:val="fr-FR"/>
        </w:rPr>
        <w:sectPr w:rsidR="00D312E4" w:rsidRPr="00A41548" w:rsidSect="00B01B41">
          <w:footerReference w:type="default" r:id="rId7"/>
          <w:type w:val="continuous"/>
          <w:pgSz w:w="11910" w:h="16840"/>
          <w:pgMar w:top="1340" w:right="919" w:bottom="1179" w:left="960" w:header="720" w:footer="981" w:gutter="0"/>
          <w:pgNumType w:start="1"/>
          <w:cols w:space="720"/>
        </w:sectPr>
      </w:pPr>
    </w:p>
    <w:p w:rsidR="00D312E4" w:rsidRPr="00A41548" w:rsidRDefault="0042023B">
      <w:pPr>
        <w:pStyle w:val="Corpsdetexte"/>
        <w:spacing w:before="76"/>
        <w:ind w:left="172" w:right="176"/>
        <w:jc w:val="both"/>
        <w:rPr>
          <w:lang w:val="fr-FR"/>
        </w:rPr>
      </w:pPr>
      <w:r w:rsidRPr="00A41548">
        <w:rPr>
          <w:lang w:val="fr-FR"/>
        </w:rPr>
        <w:lastRenderedPageBreak/>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D312E4" w:rsidRPr="00A41548" w:rsidRDefault="00D312E4">
      <w:pPr>
        <w:pStyle w:val="Corpsdetexte"/>
        <w:rPr>
          <w:sz w:val="26"/>
          <w:lang w:val="fr-FR"/>
        </w:rPr>
      </w:pPr>
    </w:p>
    <w:p w:rsidR="00D312E4" w:rsidRPr="00A41548" w:rsidRDefault="0042023B">
      <w:pPr>
        <w:pStyle w:val="Corpsdetexte"/>
        <w:spacing w:before="217"/>
        <w:ind w:left="172" w:right="178"/>
        <w:jc w:val="both"/>
        <w:rPr>
          <w:lang w:val="fr-FR"/>
        </w:rPr>
      </w:pPr>
      <w:r w:rsidRPr="00A41548">
        <w:rPr>
          <w:lang w:val="fr-FR"/>
        </w:rPr>
        <w:t>À partir de vos connaissances et de la documentation fournie, vous traiterez les questions qui suivent en tenant compte du contexte et des contraintes définis dans le sujet.</w:t>
      </w:r>
    </w:p>
    <w:p w:rsidR="00D312E4" w:rsidRPr="00A41548" w:rsidRDefault="00D312E4">
      <w:pPr>
        <w:pStyle w:val="Corpsdetexte"/>
        <w:rPr>
          <w:sz w:val="20"/>
          <w:lang w:val="fr-FR"/>
        </w:rPr>
      </w:pPr>
    </w:p>
    <w:p w:rsidR="00D312E4" w:rsidRPr="00A41548" w:rsidRDefault="0042023B">
      <w:pPr>
        <w:pStyle w:val="Corpsdetexte"/>
        <w:spacing w:before="10"/>
        <w:rPr>
          <w:sz w:val="28"/>
          <w:lang w:val="fr-FR"/>
        </w:rPr>
      </w:pPr>
      <w:r w:rsidRPr="00A41548">
        <w:rPr>
          <w:noProof/>
          <w:lang w:val="fr-FR"/>
        </w:rPr>
        <w:drawing>
          <wp:anchor distT="0" distB="0" distL="0" distR="0" simplePos="0" relativeHeight="251656704" behindDoc="0" locked="0" layoutInCell="1" allowOverlap="1">
            <wp:simplePos x="0" y="0"/>
            <wp:positionH relativeFrom="page">
              <wp:posOffset>3093720</wp:posOffset>
            </wp:positionH>
            <wp:positionV relativeFrom="paragraph">
              <wp:posOffset>235961</wp:posOffset>
            </wp:positionV>
            <wp:extent cx="1371077" cy="16668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1077" cy="1666875"/>
                    </a:xfrm>
                    <a:prstGeom prst="rect">
                      <a:avLst/>
                    </a:prstGeom>
                  </pic:spPr>
                </pic:pic>
              </a:graphicData>
            </a:graphic>
          </wp:anchor>
        </w:drawing>
      </w:r>
    </w:p>
    <w:p w:rsidR="00D312E4" w:rsidRPr="00A41548" w:rsidRDefault="00D312E4">
      <w:pPr>
        <w:pStyle w:val="Corpsdetexte"/>
        <w:rPr>
          <w:sz w:val="20"/>
          <w:lang w:val="fr-FR"/>
        </w:rPr>
      </w:pPr>
    </w:p>
    <w:p w:rsidR="00D312E4" w:rsidRPr="00A41548" w:rsidRDefault="00D312E4">
      <w:pPr>
        <w:pStyle w:val="Corpsdetexte"/>
        <w:spacing w:before="7"/>
        <w:rPr>
          <w:sz w:val="27"/>
          <w:lang w:val="fr-FR"/>
        </w:rPr>
      </w:pPr>
    </w:p>
    <w:p w:rsidR="00D312E4" w:rsidRPr="00A41548" w:rsidRDefault="0042023B">
      <w:pPr>
        <w:spacing w:before="93"/>
        <w:ind w:left="172" w:right="170"/>
        <w:jc w:val="both"/>
        <w:rPr>
          <w:i/>
          <w:sz w:val="24"/>
          <w:lang w:val="fr-FR"/>
        </w:rPr>
      </w:pPr>
      <w:r w:rsidRPr="00A41548">
        <w:rPr>
          <w:i/>
          <w:sz w:val="24"/>
          <w:lang w:val="fr-FR"/>
        </w:rPr>
        <w:t xml:space="preserve">Créée en </w:t>
      </w:r>
      <w:hyperlink r:id="rId9">
        <w:r w:rsidRPr="00A41548">
          <w:rPr>
            <w:i/>
            <w:sz w:val="24"/>
            <w:lang w:val="fr-FR"/>
          </w:rPr>
          <w:t>1980</w:t>
        </w:r>
      </w:hyperlink>
      <w:r w:rsidRPr="00A41548">
        <w:rPr>
          <w:i/>
          <w:sz w:val="24"/>
          <w:lang w:val="fr-FR"/>
        </w:rPr>
        <w:t xml:space="preserve"> en France, l’enseigne de restauration Poivre Rouge propose une restauration grill en service à table. Elle compte 82 restaurants en </w:t>
      </w:r>
      <w:hyperlink r:id="rId10">
        <w:r w:rsidRPr="00A41548">
          <w:rPr>
            <w:i/>
            <w:sz w:val="24"/>
            <w:lang w:val="fr-FR"/>
          </w:rPr>
          <w:t>2014</w:t>
        </w:r>
      </w:hyperlink>
      <w:r w:rsidRPr="00A41548">
        <w:rPr>
          <w:i/>
          <w:sz w:val="24"/>
          <w:lang w:val="fr-FR"/>
        </w:rPr>
        <w:t>. Tournée vers une consommation plaisir, Poivre Rouge mêle à la fois l'offre grill et l’offre de cuisine traditionnelle afin de toucher le plus grand nombre de consommateurs et d’</w:t>
      </w:r>
      <w:proofErr w:type="spellStart"/>
      <w:r w:rsidRPr="00A41548">
        <w:rPr>
          <w:i/>
          <w:sz w:val="24"/>
          <w:lang w:val="fr-FR"/>
        </w:rPr>
        <w:t>intègrer</w:t>
      </w:r>
      <w:proofErr w:type="spellEnd"/>
      <w:r w:rsidRPr="00A41548">
        <w:rPr>
          <w:i/>
          <w:sz w:val="24"/>
          <w:lang w:val="fr-FR"/>
        </w:rPr>
        <w:t xml:space="preserve"> les dernières tendances de consommation.</w:t>
      </w:r>
    </w:p>
    <w:p w:rsidR="00D312E4" w:rsidRPr="00A41548" w:rsidRDefault="00D312E4">
      <w:pPr>
        <w:pStyle w:val="Corpsdetexte"/>
        <w:rPr>
          <w:i/>
          <w:sz w:val="26"/>
          <w:lang w:val="fr-FR"/>
        </w:rPr>
      </w:pPr>
    </w:p>
    <w:p w:rsidR="00D312E4" w:rsidRPr="00A41548" w:rsidRDefault="00D312E4">
      <w:pPr>
        <w:pStyle w:val="Corpsdetexte"/>
        <w:rPr>
          <w:i/>
          <w:sz w:val="26"/>
          <w:lang w:val="fr-FR"/>
        </w:rPr>
      </w:pPr>
    </w:p>
    <w:p w:rsidR="00D312E4" w:rsidRPr="00A41548" w:rsidRDefault="0042023B">
      <w:pPr>
        <w:pStyle w:val="Titre3"/>
        <w:tabs>
          <w:tab w:val="left" w:pos="881"/>
        </w:tabs>
        <w:spacing w:before="232"/>
        <w:ind w:right="169"/>
        <w:rPr>
          <w:lang w:val="fr-FR"/>
        </w:rPr>
      </w:pPr>
      <w:r w:rsidRPr="00A41548">
        <w:rPr>
          <w:lang w:val="fr-FR"/>
        </w:rPr>
        <w:t>1.1-</w:t>
      </w:r>
      <w:r w:rsidRPr="00A41548">
        <w:rPr>
          <w:lang w:val="fr-FR"/>
        </w:rPr>
        <w:tab/>
        <w:t>Caractérisez le positionnement de Poivre Rouge. Ce positionnement</w:t>
      </w:r>
      <w:r w:rsidR="006024EE" w:rsidRPr="00A41548">
        <w:rPr>
          <w:lang w:val="fr-FR"/>
        </w:rPr>
        <w:t xml:space="preserve"> </w:t>
      </w:r>
      <w:r w:rsidRPr="00A41548">
        <w:rPr>
          <w:lang w:val="fr-FR"/>
        </w:rPr>
        <w:t>est-il</w:t>
      </w:r>
      <w:r w:rsidRPr="00A41548">
        <w:rPr>
          <w:spacing w:val="13"/>
          <w:lang w:val="fr-FR"/>
        </w:rPr>
        <w:t xml:space="preserve"> </w:t>
      </w:r>
      <w:r w:rsidRPr="00A41548">
        <w:rPr>
          <w:lang w:val="fr-FR"/>
        </w:rPr>
        <w:t>en cohérence avec la cible</w:t>
      </w:r>
      <w:r w:rsidRPr="00A41548">
        <w:rPr>
          <w:spacing w:val="-5"/>
          <w:lang w:val="fr-FR"/>
        </w:rPr>
        <w:t xml:space="preserve"> </w:t>
      </w:r>
      <w:r w:rsidRPr="00A41548">
        <w:rPr>
          <w:lang w:val="fr-FR"/>
        </w:rPr>
        <w:t>?</w:t>
      </w:r>
    </w:p>
    <w:p w:rsidR="00D312E4" w:rsidRPr="00A41548" w:rsidRDefault="00D312E4">
      <w:pPr>
        <w:pStyle w:val="Corpsdetexte"/>
        <w:spacing w:before="9"/>
        <w:rPr>
          <w:b/>
          <w:sz w:val="20"/>
          <w:lang w:val="fr-FR"/>
        </w:rPr>
      </w:pPr>
    </w:p>
    <w:p w:rsidR="00D312E4" w:rsidRPr="00A41548" w:rsidRDefault="0042023B">
      <w:pPr>
        <w:tabs>
          <w:tab w:val="left" w:pos="881"/>
        </w:tabs>
        <w:ind w:left="172"/>
        <w:rPr>
          <w:b/>
          <w:sz w:val="24"/>
          <w:lang w:val="fr-FR"/>
        </w:rPr>
      </w:pPr>
      <w:r w:rsidRPr="00A41548">
        <w:rPr>
          <w:b/>
          <w:sz w:val="24"/>
          <w:lang w:val="fr-FR"/>
        </w:rPr>
        <w:t>1.2-</w:t>
      </w:r>
      <w:r w:rsidRPr="00A41548">
        <w:rPr>
          <w:b/>
          <w:sz w:val="24"/>
          <w:lang w:val="fr-FR"/>
        </w:rPr>
        <w:tab/>
        <w:t>Présentez le nouveau marchéage de Poivre</w:t>
      </w:r>
      <w:r w:rsidRPr="00A41548">
        <w:rPr>
          <w:b/>
          <w:spacing w:val="-19"/>
          <w:sz w:val="24"/>
          <w:lang w:val="fr-FR"/>
        </w:rPr>
        <w:t xml:space="preserve"> </w:t>
      </w:r>
      <w:r w:rsidRPr="00A41548">
        <w:rPr>
          <w:b/>
          <w:sz w:val="24"/>
          <w:lang w:val="fr-FR"/>
        </w:rPr>
        <w:t>Rouge.</w:t>
      </w:r>
    </w:p>
    <w:p w:rsidR="00D312E4" w:rsidRPr="00A41548" w:rsidRDefault="00D312E4">
      <w:pPr>
        <w:pStyle w:val="Corpsdetexte"/>
        <w:spacing w:before="9"/>
        <w:rPr>
          <w:b/>
          <w:sz w:val="20"/>
          <w:lang w:val="fr-FR"/>
        </w:rPr>
      </w:pPr>
    </w:p>
    <w:p w:rsidR="00D312E4" w:rsidRPr="00A41548" w:rsidRDefault="0042023B">
      <w:pPr>
        <w:tabs>
          <w:tab w:val="left" w:pos="881"/>
        </w:tabs>
        <w:ind w:left="893" w:right="170" w:hanging="721"/>
        <w:rPr>
          <w:b/>
          <w:sz w:val="24"/>
          <w:lang w:val="fr-FR"/>
        </w:rPr>
      </w:pPr>
      <w:r w:rsidRPr="00A41548">
        <w:rPr>
          <w:b/>
          <w:sz w:val="24"/>
          <w:lang w:val="fr-FR"/>
        </w:rPr>
        <w:t>1.3-</w:t>
      </w:r>
      <w:r w:rsidRPr="00A41548">
        <w:rPr>
          <w:b/>
          <w:sz w:val="24"/>
          <w:lang w:val="fr-FR"/>
        </w:rPr>
        <w:tab/>
        <w:t>Identifiez les objectifs de communication du jeu lancé sur la</w:t>
      </w:r>
      <w:r w:rsidR="006024EE" w:rsidRPr="00A41548">
        <w:rPr>
          <w:b/>
          <w:sz w:val="24"/>
          <w:lang w:val="fr-FR"/>
        </w:rPr>
        <w:t xml:space="preserve"> </w:t>
      </w:r>
      <w:r w:rsidRPr="00A41548">
        <w:rPr>
          <w:b/>
          <w:sz w:val="24"/>
          <w:lang w:val="fr-FR"/>
        </w:rPr>
        <w:t>page</w:t>
      </w:r>
      <w:r w:rsidRPr="00A41548">
        <w:rPr>
          <w:b/>
          <w:spacing w:val="25"/>
          <w:sz w:val="24"/>
          <w:lang w:val="fr-FR"/>
        </w:rPr>
        <w:t xml:space="preserve"> </w:t>
      </w:r>
      <w:r w:rsidRPr="00A41548">
        <w:rPr>
          <w:b/>
          <w:sz w:val="24"/>
          <w:lang w:val="fr-FR"/>
        </w:rPr>
        <w:t>Facebook de l’enseigne de</w:t>
      </w:r>
      <w:r w:rsidRPr="00A41548">
        <w:rPr>
          <w:b/>
          <w:spacing w:val="-7"/>
          <w:sz w:val="24"/>
          <w:lang w:val="fr-FR"/>
        </w:rPr>
        <w:t xml:space="preserve"> </w:t>
      </w:r>
      <w:r w:rsidRPr="00A41548">
        <w:rPr>
          <w:b/>
          <w:sz w:val="24"/>
          <w:lang w:val="fr-FR"/>
        </w:rPr>
        <w:t>restauration.</w:t>
      </w:r>
    </w:p>
    <w:p w:rsidR="00D312E4" w:rsidRPr="00A41548" w:rsidRDefault="00D312E4">
      <w:pPr>
        <w:pStyle w:val="Corpsdetexte"/>
        <w:spacing w:before="10"/>
        <w:rPr>
          <w:b/>
          <w:sz w:val="20"/>
          <w:lang w:val="fr-FR"/>
        </w:rPr>
      </w:pPr>
    </w:p>
    <w:p w:rsidR="00D312E4" w:rsidRPr="00A41548" w:rsidRDefault="0042023B">
      <w:pPr>
        <w:tabs>
          <w:tab w:val="left" w:pos="881"/>
        </w:tabs>
        <w:ind w:left="172"/>
        <w:rPr>
          <w:b/>
          <w:sz w:val="24"/>
          <w:lang w:val="fr-FR"/>
        </w:rPr>
      </w:pPr>
      <w:r w:rsidRPr="00A41548">
        <w:rPr>
          <w:b/>
          <w:sz w:val="24"/>
          <w:lang w:val="fr-FR"/>
        </w:rPr>
        <w:t>1.4-</w:t>
      </w:r>
      <w:r w:rsidRPr="00A41548">
        <w:rPr>
          <w:b/>
          <w:sz w:val="24"/>
          <w:lang w:val="fr-FR"/>
        </w:rPr>
        <w:tab/>
        <w:t>Calculez la rentabilité du restaurant Poivre Rouge à Jarville.</w:t>
      </w:r>
      <w:r w:rsidRPr="00A41548">
        <w:rPr>
          <w:b/>
          <w:spacing w:val="-23"/>
          <w:sz w:val="24"/>
          <w:lang w:val="fr-FR"/>
        </w:rPr>
        <w:t xml:space="preserve"> </w:t>
      </w:r>
      <w:r w:rsidRPr="00A41548">
        <w:rPr>
          <w:b/>
          <w:sz w:val="24"/>
          <w:lang w:val="fr-FR"/>
        </w:rPr>
        <w:t>Concluez.</w:t>
      </w:r>
    </w:p>
    <w:p w:rsidR="00D312E4" w:rsidRPr="00A41548" w:rsidRDefault="00D312E4">
      <w:pPr>
        <w:pStyle w:val="Corpsdetexte"/>
        <w:spacing w:before="10"/>
        <w:rPr>
          <w:b/>
          <w:sz w:val="20"/>
          <w:lang w:val="fr-FR"/>
        </w:rPr>
      </w:pPr>
    </w:p>
    <w:p w:rsidR="00D312E4" w:rsidRPr="00A41548" w:rsidRDefault="0042023B">
      <w:pPr>
        <w:tabs>
          <w:tab w:val="left" w:pos="881"/>
        </w:tabs>
        <w:ind w:left="893" w:right="170" w:hanging="721"/>
        <w:rPr>
          <w:b/>
          <w:sz w:val="24"/>
          <w:lang w:val="fr-FR"/>
        </w:rPr>
      </w:pPr>
      <w:r w:rsidRPr="00A41548">
        <w:rPr>
          <w:b/>
          <w:sz w:val="24"/>
          <w:lang w:val="fr-FR"/>
        </w:rPr>
        <w:t>1.5-</w:t>
      </w:r>
      <w:r w:rsidRPr="00A41548">
        <w:rPr>
          <w:b/>
          <w:sz w:val="24"/>
          <w:lang w:val="fr-FR"/>
        </w:rPr>
        <w:tab/>
        <w:t>Les</w:t>
      </w:r>
      <w:r w:rsidRPr="00A41548">
        <w:rPr>
          <w:b/>
          <w:spacing w:val="44"/>
          <w:sz w:val="24"/>
          <w:lang w:val="fr-FR"/>
        </w:rPr>
        <w:t xml:space="preserve"> </w:t>
      </w:r>
      <w:r w:rsidRPr="00A41548">
        <w:rPr>
          <w:b/>
          <w:sz w:val="24"/>
          <w:lang w:val="fr-FR"/>
        </w:rPr>
        <w:t>nouvelles</w:t>
      </w:r>
      <w:r w:rsidRPr="00A41548">
        <w:rPr>
          <w:b/>
          <w:spacing w:val="43"/>
          <w:sz w:val="24"/>
          <w:lang w:val="fr-FR"/>
        </w:rPr>
        <w:t xml:space="preserve"> </w:t>
      </w:r>
      <w:r w:rsidRPr="00A41548">
        <w:rPr>
          <w:b/>
          <w:sz w:val="24"/>
          <w:lang w:val="fr-FR"/>
        </w:rPr>
        <w:t>technologies</w:t>
      </w:r>
      <w:r w:rsidRPr="00A41548">
        <w:rPr>
          <w:b/>
          <w:spacing w:val="45"/>
          <w:sz w:val="24"/>
          <w:lang w:val="fr-FR"/>
        </w:rPr>
        <w:t xml:space="preserve"> </w:t>
      </w:r>
      <w:r w:rsidRPr="00A41548">
        <w:rPr>
          <w:b/>
          <w:sz w:val="24"/>
          <w:lang w:val="fr-FR"/>
        </w:rPr>
        <w:t>de</w:t>
      </w:r>
      <w:r w:rsidRPr="00A41548">
        <w:rPr>
          <w:b/>
          <w:spacing w:val="43"/>
          <w:sz w:val="24"/>
          <w:lang w:val="fr-FR"/>
        </w:rPr>
        <w:t xml:space="preserve"> </w:t>
      </w:r>
      <w:r w:rsidRPr="00A41548">
        <w:rPr>
          <w:b/>
          <w:sz w:val="24"/>
          <w:lang w:val="fr-FR"/>
        </w:rPr>
        <w:t>l’information</w:t>
      </w:r>
      <w:r w:rsidRPr="00A41548">
        <w:rPr>
          <w:b/>
          <w:spacing w:val="43"/>
          <w:sz w:val="24"/>
          <w:lang w:val="fr-FR"/>
        </w:rPr>
        <w:t xml:space="preserve"> </w:t>
      </w:r>
      <w:r w:rsidRPr="00A41548">
        <w:rPr>
          <w:b/>
          <w:sz w:val="24"/>
          <w:lang w:val="fr-FR"/>
        </w:rPr>
        <w:t>et</w:t>
      </w:r>
      <w:r w:rsidRPr="00A41548">
        <w:rPr>
          <w:b/>
          <w:spacing w:val="42"/>
          <w:sz w:val="24"/>
          <w:lang w:val="fr-FR"/>
        </w:rPr>
        <w:t xml:space="preserve"> </w:t>
      </w:r>
      <w:r w:rsidRPr="00A41548">
        <w:rPr>
          <w:b/>
          <w:sz w:val="24"/>
          <w:lang w:val="fr-FR"/>
        </w:rPr>
        <w:t>de</w:t>
      </w:r>
      <w:r w:rsidRPr="00A41548">
        <w:rPr>
          <w:b/>
          <w:spacing w:val="43"/>
          <w:sz w:val="24"/>
          <w:lang w:val="fr-FR"/>
        </w:rPr>
        <w:t xml:space="preserve"> </w:t>
      </w:r>
      <w:r w:rsidRPr="00A41548">
        <w:rPr>
          <w:b/>
          <w:sz w:val="24"/>
          <w:lang w:val="fr-FR"/>
        </w:rPr>
        <w:t>la</w:t>
      </w:r>
      <w:r w:rsidRPr="00A41548">
        <w:rPr>
          <w:b/>
          <w:spacing w:val="41"/>
          <w:sz w:val="24"/>
          <w:lang w:val="fr-FR"/>
        </w:rPr>
        <w:t xml:space="preserve"> </w:t>
      </w:r>
      <w:r w:rsidRPr="00A41548">
        <w:rPr>
          <w:b/>
          <w:sz w:val="24"/>
          <w:lang w:val="fr-FR"/>
        </w:rPr>
        <w:t>communication</w:t>
      </w:r>
      <w:r w:rsidRPr="00A41548">
        <w:rPr>
          <w:b/>
          <w:spacing w:val="42"/>
          <w:sz w:val="24"/>
          <w:lang w:val="fr-FR"/>
        </w:rPr>
        <w:t xml:space="preserve"> </w:t>
      </w:r>
      <w:r w:rsidRPr="00A41548">
        <w:rPr>
          <w:b/>
          <w:sz w:val="24"/>
          <w:lang w:val="fr-FR"/>
        </w:rPr>
        <w:t>(NTIC) favorisent-elles la fidélisation de la clientèle</w:t>
      </w:r>
      <w:r w:rsidRPr="00A41548">
        <w:rPr>
          <w:b/>
          <w:spacing w:val="-8"/>
          <w:sz w:val="24"/>
          <w:lang w:val="fr-FR"/>
        </w:rPr>
        <w:t xml:space="preserve"> </w:t>
      </w:r>
      <w:r w:rsidRPr="00A41548">
        <w:rPr>
          <w:b/>
          <w:sz w:val="24"/>
          <w:lang w:val="fr-FR"/>
        </w:rPr>
        <w:t>?</w:t>
      </w:r>
    </w:p>
    <w:p w:rsidR="00D312E4" w:rsidRPr="00A41548" w:rsidRDefault="00D312E4">
      <w:pPr>
        <w:rPr>
          <w:sz w:val="24"/>
          <w:lang w:val="fr-FR"/>
        </w:rPr>
        <w:sectPr w:rsidR="00D312E4" w:rsidRPr="00A41548" w:rsidSect="00B01B41">
          <w:pgSz w:w="11910" w:h="16840"/>
          <w:pgMar w:top="1320" w:right="919" w:bottom="1179" w:left="960" w:header="0" w:footer="981" w:gutter="0"/>
          <w:cols w:space="720"/>
        </w:sectPr>
      </w:pPr>
    </w:p>
    <w:p w:rsidR="00B01B41" w:rsidRPr="00A41548" w:rsidRDefault="00B01B41" w:rsidP="000210FA">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A41548">
        <w:rPr>
          <w:b/>
          <w:i/>
          <w:sz w:val="24"/>
          <w:lang w:val="fr-FR"/>
        </w:rPr>
        <w:lastRenderedPageBreak/>
        <w:t>Annexe 1 : Concept : la restauration traditionnelle mêlée à une offre grill.</w:t>
      </w:r>
    </w:p>
    <w:p w:rsidR="00D312E4" w:rsidRPr="00A41548" w:rsidRDefault="00D312E4" w:rsidP="00B01B41">
      <w:pPr>
        <w:pStyle w:val="Corpsdetexte"/>
        <w:ind w:left="210" w:right="210"/>
        <w:rPr>
          <w:b/>
          <w:sz w:val="21"/>
          <w:lang w:val="fr-FR"/>
        </w:rPr>
      </w:pPr>
    </w:p>
    <w:p w:rsidR="00537070" w:rsidRPr="00A41548" w:rsidRDefault="00537070">
      <w:pPr>
        <w:pStyle w:val="Corpsdetexte"/>
        <w:spacing w:line="276" w:lineRule="exact"/>
        <w:ind w:left="212" w:right="308"/>
        <w:jc w:val="both"/>
        <w:rPr>
          <w:lang w:val="fr-FR"/>
        </w:rPr>
      </w:pPr>
      <w:r w:rsidRPr="00A41548">
        <w:rPr>
          <w:noProof/>
          <w:lang w:val="fr-FR"/>
        </w:rPr>
        <w:drawing>
          <wp:anchor distT="0" distB="0" distL="114300" distR="114300" simplePos="0" relativeHeight="251661824" behindDoc="0" locked="0" layoutInCell="1" allowOverlap="1" wp14:anchorId="2C77E7A2" wp14:editId="0EFDFFDB">
            <wp:simplePos x="0" y="0"/>
            <wp:positionH relativeFrom="column">
              <wp:posOffset>158750</wp:posOffset>
            </wp:positionH>
            <wp:positionV relativeFrom="paragraph">
              <wp:posOffset>43815</wp:posOffset>
            </wp:positionV>
            <wp:extent cx="1594485" cy="4037965"/>
            <wp:effectExtent l="19050" t="19050" r="571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94485" cy="40379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37070" w:rsidRPr="00A41548" w:rsidRDefault="00537070" w:rsidP="00537070">
      <w:pPr>
        <w:pStyle w:val="TableParagraph"/>
        <w:ind w:left="105" w:right="199"/>
        <w:jc w:val="both"/>
        <w:rPr>
          <w:sz w:val="24"/>
          <w:lang w:val="fr-FR"/>
        </w:rPr>
      </w:pPr>
      <w:r w:rsidRPr="00A41548">
        <w:rPr>
          <w:sz w:val="24"/>
          <w:lang w:val="fr-FR"/>
        </w:rPr>
        <w:t>Attractive, l’enseigne de restauration Poivre Rouge offre le meilleur rapport qualité / prix du marché. Elle vise une clientèle large, familiale mais aussi professionnelle. Elle intègre les dernières tendances de consommation. Son identité forte et son concept original sont soutenus par un positionnement offensif qui permet d'offrir le meilleur rapport qualité / prix. Le bâtiment à l'architecture moderne, sobre et efficace offre une capacité de 200 places.</w:t>
      </w:r>
    </w:p>
    <w:p w:rsidR="00537070" w:rsidRPr="00A41548" w:rsidRDefault="00537070" w:rsidP="00537070">
      <w:pPr>
        <w:pStyle w:val="Corpsdetexte"/>
        <w:spacing w:line="276" w:lineRule="exact"/>
        <w:ind w:left="212" w:right="308"/>
        <w:jc w:val="both"/>
        <w:rPr>
          <w:lang w:val="fr-FR"/>
        </w:rPr>
      </w:pPr>
      <w:r w:rsidRPr="00A41548">
        <w:rPr>
          <w:lang w:val="fr-FR"/>
        </w:rPr>
        <w:t>L'enseigne propose 2 formats : 450 et 600 m².Tournée vers une consommation plaisir, Poivre Rouge mêle l'offre grill et l’offre de cuisine traditionnelle afin de toucher le plus grand nombre de consommateurs. Le restaurant répond à un réel besoin des consommateurs qui recherchent avant tout un bon rapport qualité / prix. En proposant deux cartes par an (été et hiver), l'enseigne se plie aux envies et aux budgets de chacun.</w:t>
      </w:r>
    </w:p>
    <w:p w:rsidR="00D312E4" w:rsidRPr="00A41548" w:rsidRDefault="0042023B">
      <w:pPr>
        <w:pStyle w:val="Corpsdetexte"/>
        <w:spacing w:line="276" w:lineRule="exact"/>
        <w:ind w:left="212" w:right="308"/>
        <w:jc w:val="both"/>
        <w:rPr>
          <w:lang w:val="fr-FR"/>
        </w:rPr>
      </w:pPr>
      <w:r w:rsidRPr="00A41548">
        <w:rPr>
          <w:lang w:val="fr-FR"/>
        </w:rPr>
        <w:t>Le développement du réseau est en pleine croissance. Poivre Rouge est clairement positionné sur son secteur.</w:t>
      </w:r>
      <w:r w:rsidR="006024EE" w:rsidRPr="00A41548">
        <w:rPr>
          <w:lang w:val="fr-FR"/>
        </w:rPr>
        <w:t xml:space="preserve"> </w:t>
      </w:r>
      <w:r w:rsidRPr="00A41548">
        <w:rPr>
          <w:lang w:val="fr-FR"/>
        </w:rPr>
        <w:t>Son</w:t>
      </w:r>
      <w:r w:rsidR="006024EE" w:rsidRPr="00A41548">
        <w:rPr>
          <w:lang w:val="fr-FR"/>
        </w:rPr>
        <w:t xml:space="preserve"> </w:t>
      </w:r>
      <w:r w:rsidRPr="00A41548">
        <w:rPr>
          <w:lang w:val="fr-FR"/>
        </w:rPr>
        <w:t>but</w:t>
      </w:r>
      <w:r w:rsidR="006024EE" w:rsidRPr="00A41548">
        <w:rPr>
          <w:lang w:val="fr-FR"/>
        </w:rPr>
        <w:t xml:space="preserve"> </w:t>
      </w:r>
      <w:r w:rsidRPr="00A41548">
        <w:rPr>
          <w:lang w:val="fr-FR"/>
        </w:rPr>
        <w:t>est</w:t>
      </w:r>
      <w:r w:rsidR="006024EE" w:rsidRPr="00A41548">
        <w:rPr>
          <w:lang w:val="fr-FR"/>
        </w:rPr>
        <w:t xml:space="preserve"> </w:t>
      </w:r>
      <w:r w:rsidRPr="00A41548">
        <w:rPr>
          <w:lang w:val="fr-FR"/>
        </w:rPr>
        <w:t>d’offrir</w:t>
      </w:r>
      <w:r w:rsidR="006024EE" w:rsidRPr="00A41548">
        <w:rPr>
          <w:lang w:val="fr-FR"/>
        </w:rPr>
        <w:t xml:space="preserve"> </w:t>
      </w:r>
      <w:r w:rsidRPr="00A41548">
        <w:rPr>
          <w:lang w:val="fr-FR"/>
        </w:rPr>
        <w:t>à</w:t>
      </w:r>
      <w:r w:rsidR="006024EE" w:rsidRPr="00A41548">
        <w:rPr>
          <w:lang w:val="fr-FR"/>
        </w:rPr>
        <w:t xml:space="preserve"> </w:t>
      </w:r>
      <w:r w:rsidRPr="00A41548">
        <w:rPr>
          <w:lang w:val="fr-FR"/>
        </w:rPr>
        <w:t>ses</w:t>
      </w:r>
      <w:r w:rsidR="006024EE" w:rsidRPr="00A41548">
        <w:rPr>
          <w:lang w:val="fr-FR"/>
        </w:rPr>
        <w:t xml:space="preserve"> </w:t>
      </w:r>
      <w:r w:rsidRPr="00A41548">
        <w:rPr>
          <w:lang w:val="fr-FR"/>
        </w:rPr>
        <w:t>clients</w:t>
      </w:r>
      <w:r w:rsidR="006024EE" w:rsidRPr="00A41548">
        <w:rPr>
          <w:lang w:val="fr-FR"/>
        </w:rPr>
        <w:t xml:space="preserve"> </w:t>
      </w:r>
      <w:r w:rsidRPr="00A41548">
        <w:rPr>
          <w:lang w:val="fr-FR"/>
        </w:rPr>
        <w:t>le</w:t>
      </w:r>
      <w:r w:rsidR="006024EE" w:rsidRPr="00A41548">
        <w:rPr>
          <w:lang w:val="fr-FR"/>
        </w:rPr>
        <w:t xml:space="preserve"> </w:t>
      </w:r>
      <w:r w:rsidRPr="00A41548">
        <w:rPr>
          <w:lang w:val="fr-FR"/>
        </w:rPr>
        <w:t>meilleur</w:t>
      </w:r>
      <w:r w:rsidR="006024EE" w:rsidRPr="00A41548">
        <w:rPr>
          <w:lang w:val="fr-FR"/>
        </w:rPr>
        <w:t xml:space="preserve"> </w:t>
      </w:r>
      <w:r w:rsidRPr="00A41548">
        <w:rPr>
          <w:lang w:val="fr-FR"/>
        </w:rPr>
        <w:t>rapport</w:t>
      </w:r>
      <w:r w:rsidR="006024EE" w:rsidRPr="00A41548">
        <w:rPr>
          <w:lang w:val="fr-FR"/>
        </w:rPr>
        <w:t xml:space="preserve"> </w:t>
      </w:r>
      <w:r w:rsidRPr="00A41548">
        <w:rPr>
          <w:lang w:val="fr-FR"/>
        </w:rPr>
        <w:t>qualité / prix. C’est pourquoi le ticket moyen est d’environ 18 euros, soit un prix 20 % inférieur à la moyenne du marché. Selon la capacité et le potentiel du lieu d’implantation d’un restaurant, il dégage un chiffre d’affaires annuel moyen de 1,5 millions d’euros hors taxes. Poivre Rouge est la 4</w:t>
      </w:r>
      <w:proofErr w:type="spellStart"/>
      <w:r w:rsidRPr="00A41548">
        <w:rPr>
          <w:position w:val="8"/>
          <w:sz w:val="16"/>
          <w:lang w:val="fr-FR"/>
        </w:rPr>
        <w:t>ème</w:t>
      </w:r>
      <w:proofErr w:type="spellEnd"/>
      <w:r w:rsidRPr="00A41548">
        <w:rPr>
          <w:position w:val="8"/>
          <w:sz w:val="16"/>
          <w:lang w:val="fr-FR"/>
        </w:rPr>
        <w:t xml:space="preserve"> </w:t>
      </w:r>
      <w:r w:rsidRPr="00A41548">
        <w:rPr>
          <w:lang w:val="fr-FR"/>
        </w:rPr>
        <w:t>enseigne française de chaîne avec service à table en nombre de points de</w:t>
      </w:r>
      <w:r w:rsidRPr="00A41548">
        <w:rPr>
          <w:spacing w:val="-11"/>
          <w:lang w:val="fr-FR"/>
        </w:rPr>
        <w:t xml:space="preserve"> </w:t>
      </w:r>
      <w:r w:rsidRPr="00A41548">
        <w:rPr>
          <w:lang w:val="fr-FR"/>
        </w:rPr>
        <w:t>vente.</w:t>
      </w:r>
    </w:p>
    <w:p w:rsidR="00D312E4" w:rsidRPr="00A41548" w:rsidRDefault="0042023B">
      <w:pPr>
        <w:pStyle w:val="Corpsdetexte"/>
        <w:spacing w:before="115"/>
        <w:ind w:left="6437"/>
        <w:rPr>
          <w:lang w:val="fr-FR"/>
        </w:rPr>
      </w:pPr>
      <w:r w:rsidRPr="00A41548">
        <w:rPr>
          <w:lang w:val="fr-FR"/>
        </w:rPr>
        <w:t>Source : Les Echos, 23/02/2017</w:t>
      </w:r>
    </w:p>
    <w:p w:rsidR="000210FA" w:rsidRPr="00A41548" w:rsidRDefault="000210FA">
      <w:pPr>
        <w:pStyle w:val="Corpsdetexte"/>
        <w:spacing w:before="115"/>
        <w:ind w:left="6437"/>
        <w:rPr>
          <w:lang w:val="fr-FR"/>
        </w:rPr>
      </w:pPr>
    </w:p>
    <w:p w:rsidR="000210FA" w:rsidRPr="00A41548" w:rsidRDefault="000210FA" w:rsidP="000210FA">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A41548">
        <w:rPr>
          <w:b/>
          <w:i/>
          <w:sz w:val="24"/>
          <w:lang w:val="fr-FR"/>
        </w:rPr>
        <w:t>Annexe 2 : Informations sur la rentabilité du restaurant Poivre Rouge à Jarville.</w:t>
      </w:r>
    </w:p>
    <w:p w:rsidR="00D312E4" w:rsidRPr="00A41548" w:rsidRDefault="00D312E4">
      <w:pPr>
        <w:pStyle w:val="Corpsdetexte"/>
        <w:spacing w:before="5"/>
        <w:rPr>
          <w:sz w:val="12"/>
          <w:lang w:val="fr-FR"/>
        </w:rPr>
      </w:pPr>
    </w:p>
    <w:p w:rsidR="00D312E4" w:rsidRPr="00A41548" w:rsidRDefault="0042023B">
      <w:pPr>
        <w:pStyle w:val="Paragraphedeliste"/>
        <w:numPr>
          <w:ilvl w:val="0"/>
          <w:numId w:val="1"/>
        </w:numPr>
        <w:tabs>
          <w:tab w:val="left" w:pos="1029"/>
          <w:tab w:val="left" w:pos="1030"/>
        </w:tabs>
        <w:spacing w:before="100" w:line="293" w:lineRule="exact"/>
        <w:rPr>
          <w:sz w:val="24"/>
          <w:lang w:val="fr-FR"/>
        </w:rPr>
      </w:pPr>
      <w:r w:rsidRPr="00A41548">
        <w:rPr>
          <w:sz w:val="24"/>
          <w:lang w:val="fr-FR"/>
        </w:rPr>
        <w:t>CA annuel HT : 1 500 000</w:t>
      </w:r>
      <w:r w:rsidRPr="00A41548">
        <w:rPr>
          <w:spacing w:val="-7"/>
          <w:sz w:val="24"/>
          <w:lang w:val="fr-FR"/>
        </w:rPr>
        <w:t xml:space="preserve"> </w:t>
      </w:r>
      <w:r w:rsidRPr="00A41548">
        <w:rPr>
          <w:sz w:val="24"/>
          <w:lang w:val="fr-FR"/>
        </w:rPr>
        <w:t>€</w:t>
      </w:r>
    </w:p>
    <w:p w:rsidR="00D312E4" w:rsidRPr="00A41548" w:rsidRDefault="0042023B">
      <w:pPr>
        <w:pStyle w:val="Paragraphedeliste"/>
        <w:numPr>
          <w:ilvl w:val="0"/>
          <w:numId w:val="1"/>
        </w:numPr>
        <w:tabs>
          <w:tab w:val="left" w:pos="1029"/>
          <w:tab w:val="left" w:pos="1030"/>
        </w:tabs>
        <w:rPr>
          <w:sz w:val="24"/>
          <w:lang w:val="fr-FR"/>
        </w:rPr>
      </w:pPr>
      <w:r w:rsidRPr="00A41548">
        <w:rPr>
          <w:sz w:val="24"/>
          <w:lang w:val="fr-FR"/>
        </w:rPr>
        <w:t>Charges variables : 60 % du</w:t>
      </w:r>
      <w:r w:rsidRPr="00A41548">
        <w:rPr>
          <w:spacing w:val="-12"/>
          <w:sz w:val="24"/>
          <w:lang w:val="fr-FR"/>
        </w:rPr>
        <w:t xml:space="preserve"> </w:t>
      </w:r>
      <w:r w:rsidRPr="00A41548">
        <w:rPr>
          <w:sz w:val="24"/>
          <w:lang w:val="fr-FR"/>
        </w:rPr>
        <w:t>CA</w:t>
      </w:r>
    </w:p>
    <w:p w:rsidR="00D312E4" w:rsidRPr="00A41548" w:rsidRDefault="0042023B">
      <w:pPr>
        <w:pStyle w:val="Paragraphedeliste"/>
        <w:numPr>
          <w:ilvl w:val="0"/>
          <w:numId w:val="1"/>
        </w:numPr>
        <w:tabs>
          <w:tab w:val="left" w:pos="1029"/>
          <w:tab w:val="left" w:pos="1030"/>
        </w:tabs>
        <w:rPr>
          <w:sz w:val="24"/>
          <w:lang w:val="fr-FR"/>
        </w:rPr>
      </w:pPr>
      <w:r w:rsidRPr="00A41548">
        <w:rPr>
          <w:sz w:val="24"/>
          <w:lang w:val="fr-FR"/>
        </w:rPr>
        <w:t>Charges fixes : 450 000</w:t>
      </w:r>
      <w:r w:rsidRPr="00A41548">
        <w:rPr>
          <w:spacing w:val="-8"/>
          <w:sz w:val="24"/>
          <w:lang w:val="fr-FR"/>
        </w:rPr>
        <w:t xml:space="preserve"> </w:t>
      </w:r>
      <w:r w:rsidRPr="00A41548">
        <w:rPr>
          <w:sz w:val="24"/>
          <w:lang w:val="fr-FR"/>
        </w:rPr>
        <w:t>€</w:t>
      </w:r>
    </w:p>
    <w:p w:rsidR="00D312E4" w:rsidRPr="00A41548" w:rsidRDefault="0042023B">
      <w:pPr>
        <w:pStyle w:val="Paragraphedeliste"/>
        <w:numPr>
          <w:ilvl w:val="0"/>
          <w:numId w:val="1"/>
        </w:numPr>
        <w:tabs>
          <w:tab w:val="left" w:pos="1029"/>
          <w:tab w:val="left" w:pos="1030"/>
        </w:tabs>
        <w:spacing w:line="293" w:lineRule="exact"/>
        <w:rPr>
          <w:sz w:val="24"/>
          <w:lang w:val="fr-FR"/>
        </w:rPr>
      </w:pPr>
      <w:r w:rsidRPr="00A41548">
        <w:rPr>
          <w:sz w:val="24"/>
          <w:lang w:val="fr-FR"/>
        </w:rPr>
        <w:t>Prix moyen du repas TTC : 18</w:t>
      </w:r>
      <w:r w:rsidRPr="00A41548">
        <w:rPr>
          <w:spacing w:val="-10"/>
          <w:sz w:val="24"/>
          <w:lang w:val="fr-FR"/>
        </w:rPr>
        <w:t xml:space="preserve"> </w:t>
      </w:r>
      <w:r w:rsidRPr="00A41548">
        <w:rPr>
          <w:sz w:val="24"/>
          <w:lang w:val="fr-FR"/>
        </w:rPr>
        <w:t>€</w:t>
      </w:r>
    </w:p>
    <w:p w:rsidR="00D312E4" w:rsidRPr="00A41548" w:rsidRDefault="0042023B">
      <w:pPr>
        <w:pStyle w:val="Corpsdetexte"/>
        <w:tabs>
          <w:tab w:val="left" w:pos="1029"/>
        </w:tabs>
        <w:spacing w:line="291" w:lineRule="exact"/>
        <w:ind w:left="681"/>
        <w:rPr>
          <w:lang w:val="fr-FR"/>
        </w:rPr>
      </w:pPr>
      <w:r w:rsidRPr="00A41548">
        <w:rPr>
          <w:rFonts w:ascii="Symbol" w:hAnsi="Symbol"/>
          <w:lang w:val="fr-FR"/>
        </w:rPr>
        <w:t></w:t>
      </w:r>
      <w:r w:rsidRPr="00A41548">
        <w:rPr>
          <w:rFonts w:ascii="Times New Roman" w:hAnsi="Times New Roman"/>
          <w:lang w:val="fr-FR"/>
        </w:rPr>
        <w:tab/>
      </w:r>
      <w:r w:rsidRPr="00A41548">
        <w:rPr>
          <w:lang w:val="fr-FR"/>
        </w:rPr>
        <w:t>TVA : 20</w:t>
      </w:r>
      <w:r w:rsidRPr="00A41548">
        <w:rPr>
          <w:spacing w:val="-2"/>
          <w:lang w:val="fr-FR"/>
        </w:rPr>
        <w:t xml:space="preserve"> </w:t>
      </w:r>
      <w:r w:rsidRPr="00A41548">
        <w:rPr>
          <w:lang w:val="fr-FR"/>
        </w:rPr>
        <w:t>%</w:t>
      </w:r>
    </w:p>
    <w:p w:rsidR="00D312E4" w:rsidRPr="00A41548" w:rsidRDefault="0042023B">
      <w:pPr>
        <w:pStyle w:val="Corpsdetexte"/>
        <w:spacing w:line="274" w:lineRule="exact"/>
        <w:ind w:right="311"/>
        <w:jc w:val="right"/>
        <w:rPr>
          <w:lang w:val="fr-FR"/>
        </w:rPr>
      </w:pPr>
      <w:r w:rsidRPr="00A41548">
        <w:rPr>
          <w:lang w:val="fr-FR"/>
        </w:rPr>
        <w:t>Source interne</w:t>
      </w:r>
    </w:p>
    <w:p w:rsidR="000210FA" w:rsidRPr="00A41548" w:rsidRDefault="000210FA">
      <w:pPr>
        <w:pStyle w:val="Corpsdetexte"/>
        <w:spacing w:line="274" w:lineRule="exact"/>
        <w:ind w:right="311"/>
        <w:jc w:val="right"/>
        <w:rPr>
          <w:lang w:val="fr-FR"/>
        </w:rPr>
      </w:pPr>
    </w:p>
    <w:p w:rsidR="00D312E4" w:rsidRPr="00A41548" w:rsidRDefault="00D312E4">
      <w:pPr>
        <w:pStyle w:val="Corpsdetexte"/>
        <w:rPr>
          <w:sz w:val="13"/>
          <w:lang w:val="fr-FR"/>
        </w:rPr>
      </w:pPr>
    </w:p>
    <w:p w:rsidR="000210FA" w:rsidRPr="00A41548" w:rsidRDefault="000210FA" w:rsidP="000210FA">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A41548">
        <w:rPr>
          <w:b/>
          <w:i/>
          <w:sz w:val="24"/>
          <w:lang w:val="fr-FR"/>
        </w:rPr>
        <w:t>Annexe 3 : Le dynamisme de Poivre Rouge.</w:t>
      </w:r>
    </w:p>
    <w:p w:rsidR="00D312E4" w:rsidRPr="00A41548" w:rsidRDefault="0042023B">
      <w:pPr>
        <w:spacing w:before="93"/>
        <w:ind w:left="212" w:right="314"/>
        <w:jc w:val="both"/>
        <w:rPr>
          <w:sz w:val="24"/>
          <w:lang w:val="fr-FR"/>
        </w:rPr>
      </w:pPr>
      <w:r w:rsidRPr="00A41548">
        <w:rPr>
          <w:sz w:val="24"/>
          <w:lang w:val="fr-FR"/>
        </w:rPr>
        <w:t xml:space="preserve">Née en 2000, l’enseigne de restauration Poivre Rouge aborde une étape clé dans son développement. « </w:t>
      </w:r>
      <w:r w:rsidRPr="00A41548">
        <w:rPr>
          <w:i/>
          <w:sz w:val="24"/>
          <w:lang w:val="fr-FR"/>
        </w:rPr>
        <w:t xml:space="preserve">L’enseigne bouge et nous avons bien l’intention de le faire savoir à nos clients comme à nos collaborateurs </w:t>
      </w:r>
      <w:r w:rsidRPr="00A41548">
        <w:rPr>
          <w:sz w:val="24"/>
          <w:lang w:val="fr-FR"/>
        </w:rPr>
        <w:t>», lance Rose-Anne Rocheteau, présidente du conseil d’administration de Poivre Rouge depuis l’été 2016.</w:t>
      </w:r>
    </w:p>
    <w:p w:rsidR="00D312E4" w:rsidRPr="00A41548" w:rsidRDefault="00D312E4">
      <w:pPr>
        <w:jc w:val="both"/>
        <w:rPr>
          <w:sz w:val="24"/>
          <w:lang w:val="fr-FR"/>
        </w:rPr>
        <w:sectPr w:rsidR="00D312E4" w:rsidRPr="00A41548" w:rsidSect="00B01B41">
          <w:pgSz w:w="11910" w:h="16840"/>
          <w:pgMar w:top="1400" w:right="919" w:bottom="1179" w:left="920" w:header="0" w:footer="981" w:gutter="0"/>
          <w:cols w:space="720"/>
        </w:sectPr>
      </w:pPr>
    </w:p>
    <w:p w:rsidR="000210FA" w:rsidRPr="00A41548" w:rsidRDefault="000210FA" w:rsidP="000210FA">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A41548">
        <w:rPr>
          <w:b/>
          <w:i/>
          <w:sz w:val="24"/>
          <w:lang w:val="fr-FR"/>
        </w:rPr>
        <w:lastRenderedPageBreak/>
        <w:t>Annexe 3 : Le dynamisme de Poivre Rouge (Suite et fin).</w:t>
      </w:r>
    </w:p>
    <w:p w:rsidR="00D312E4" w:rsidRPr="00A41548" w:rsidRDefault="0042023B" w:rsidP="003F06B5">
      <w:pPr>
        <w:pStyle w:val="Corpsdetexte"/>
        <w:spacing w:before="92"/>
        <w:ind w:left="212" w:right="228"/>
        <w:jc w:val="both"/>
        <w:rPr>
          <w:lang w:val="fr-FR"/>
        </w:rPr>
      </w:pPr>
      <w:r w:rsidRPr="00A41548">
        <w:rPr>
          <w:lang w:val="fr-FR"/>
        </w:rPr>
        <w:t xml:space="preserve">Plusieurs projets sont au menu. Poivre Rouge a mis au point un nouveau concept qui propose un bar et une salle à l’ambiance plus chaleureuse. Visible dans les dix Poivre Rouge inaugurés en 2016, il sera décliné progressivement au gré des ouvertures ou des transformations. « </w:t>
      </w:r>
      <w:r w:rsidRPr="00A41548">
        <w:rPr>
          <w:i/>
          <w:lang w:val="fr-FR"/>
        </w:rPr>
        <w:t xml:space="preserve">Nous souhaitons accentuer notre positionnement de restaurant convivial, confortable, pratique et compétitif </w:t>
      </w:r>
      <w:r w:rsidRPr="00A41548">
        <w:rPr>
          <w:lang w:val="fr-FR"/>
        </w:rPr>
        <w:t xml:space="preserve">», précise Rose-Anne Rocheteau, qui rappelle qu’en 2016, en plus de l’espace intérieur, un espace extérieur pour les enfants a été agencé. Mais, surtout, l’accent sera mis sur le digital. Le site internet poivrerouge.fr sera refondu en 2017 avec la création d’une fonction click &amp; </w:t>
      </w:r>
      <w:proofErr w:type="spellStart"/>
      <w:r w:rsidRPr="00A41548">
        <w:rPr>
          <w:lang w:val="fr-FR"/>
        </w:rPr>
        <w:t>collect</w:t>
      </w:r>
      <w:proofErr w:type="spellEnd"/>
      <w:r w:rsidR="006024EE" w:rsidRPr="00A41548">
        <w:rPr>
          <w:rStyle w:val="Appelnotedebasdep"/>
          <w:lang w:val="fr-FR"/>
        </w:rPr>
        <w:footnoteReference w:id="1"/>
      </w:r>
      <w:r w:rsidRPr="00A41548">
        <w:rPr>
          <w:lang w:val="fr-FR"/>
        </w:rPr>
        <w:t>, d’un drive et d’espace</w:t>
      </w:r>
      <w:r w:rsidR="003F06B5">
        <w:rPr>
          <w:lang w:val="fr-FR"/>
        </w:rPr>
        <w:t xml:space="preserve"> </w:t>
      </w:r>
      <w:r w:rsidR="003F06B5">
        <w:rPr>
          <w:lang w:val="fr-FR"/>
        </w:rPr>
        <w:br/>
      </w:r>
      <w:r w:rsidRPr="00A41548">
        <w:rPr>
          <w:lang w:val="fr-FR"/>
        </w:rPr>
        <w:t xml:space="preserve">« bons plans ». La page Facebook ouverte en 2016 sera à ce titre un vecteur idéal de communication et un programme de fidélité au niveau national sera testé, parallèlement à des initiatives locales afin de mieux répondre aux attentes des </w:t>
      </w:r>
      <w:r w:rsidR="00A41548" w:rsidRPr="00A41548">
        <w:rPr>
          <w:lang w:val="fr-FR"/>
        </w:rPr>
        <w:t>clients. Toutefois</w:t>
      </w:r>
      <w:r w:rsidRPr="00A41548">
        <w:rPr>
          <w:lang w:val="fr-FR"/>
        </w:rPr>
        <w:t xml:space="preserve">, pour faire décoller sa notoriété, l’enseigne entend frapper plus fort : « </w:t>
      </w:r>
      <w:r w:rsidRPr="00A41548">
        <w:rPr>
          <w:i/>
          <w:lang w:val="fr-FR"/>
        </w:rPr>
        <w:t xml:space="preserve">Parce que c’est une nécessité absolue d’être plus connus du grand public, nous envisageons un retour en télévision via du sponsoring </w:t>
      </w:r>
      <w:r w:rsidRPr="00A41548">
        <w:rPr>
          <w:lang w:val="fr-FR"/>
        </w:rPr>
        <w:t>», confie Rose-Anne Rocheteau.</w:t>
      </w:r>
    </w:p>
    <w:p w:rsidR="00D312E4" w:rsidRPr="00A41548" w:rsidRDefault="0042023B">
      <w:pPr>
        <w:pStyle w:val="Corpsdetexte"/>
        <w:spacing w:before="3"/>
        <w:ind w:left="212" w:right="231"/>
        <w:jc w:val="both"/>
        <w:rPr>
          <w:lang w:val="fr-FR"/>
        </w:rPr>
      </w:pPr>
      <w:r w:rsidRPr="00A41548">
        <w:rPr>
          <w:lang w:val="fr-FR"/>
        </w:rPr>
        <w:t xml:space="preserve">Par ailleurs, Poivre Rouge veut être plus présent sur le territoire. Ainsi, 15 ouvertures au moins auront lieu cette année, avec l’objectif d’arriver à 160 restaurants en 2020. La stratégie d’implantation reste la même : des axes de passage, dans des zones économiques, de </w:t>
      </w:r>
      <w:hyperlink r:id="rId12">
        <w:r w:rsidRPr="00A41548">
          <w:rPr>
            <w:lang w:val="fr-FR"/>
          </w:rPr>
          <w:t>loisirs</w:t>
        </w:r>
      </w:hyperlink>
      <w:r w:rsidRPr="00A41548">
        <w:rPr>
          <w:lang w:val="fr-FR"/>
        </w:rPr>
        <w:t xml:space="preserve"> ou de commerce, et des villes de 30 000 à 100 000 habitants.</w:t>
      </w:r>
    </w:p>
    <w:p w:rsidR="00D312E4" w:rsidRPr="00A41548" w:rsidRDefault="00D312E4">
      <w:pPr>
        <w:pStyle w:val="Corpsdetexte"/>
        <w:spacing w:before="11"/>
        <w:rPr>
          <w:sz w:val="23"/>
          <w:lang w:val="fr-FR"/>
        </w:rPr>
      </w:pPr>
    </w:p>
    <w:p w:rsidR="00D312E4" w:rsidRPr="00A41548" w:rsidRDefault="0042023B">
      <w:pPr>
        <w:pStyle w:val="Corpsdetexte"/>
        <w:ind w:left="6063"/>
        <w:rPr>
          <w:lang w:val="fr-FR"/>
        </w:rPr>
      </w:pPr>
      <w:r w:rsidRPr="00A41548">
        <w:rPr>
          <w:lang w:val="fr-FR"/>
        </w:rPr>
        <w:t>Source : lsa-conso.fr, le 09/02/2017</w:t>
      </w:r>
    </w:p>
    <w:p w:rsidR="00D312E4" w:rsidRPr="00A41548" w:rsidRDefault="00D312E4">
      <w:pPr>
        <w:pStyle w:val="Corpsdetexte"/>
        <w:rPr>
          <w:sz w:val="20"/>
          <w:lang w:val="fr-FR"/>
        </w:rPr>
      </w:pPr>
    </w:p>
    <w:p w:rsidR="00D312E4" w:rsidRPr="00A41548" w:rsidRDefault="00D312E4">
      <w:pPr>
        <w:pStyle w:val="Corpsdetexte"/>
        <w:rPr>
          <w:sz w:val="20"/>
          <w:lang w:val="fr-FR"/>
        </w:rPr>
      </w:pPr>
    </w:p>
    <w:p w:rsidR="00D312E4" w:rsidRPr="00A41548" w:rsidRDefault="00D312E4">
      <w:pPr>
        <w:pStyle w:val="Corpsdetexte"/>
        <w:spacing w:before="11"/>
        <w:rPr>
          <w:sz w:val="17"/>
          <w:lang w:val="fr-FR"/>
        </w:rPr>
      </w:pPr>
    </w:p>
    <w:p w:rsidR="000210FA" w:rsidRPr="00A41548" w:rsidRDefault="000210FA" w:rsidP="000210FA">
      <w:pPr>
        <w:pBdr>
          <w:top w:val="single" w:sz="4" w:space="1" w:color="auto"/>
          <w:left w:val="single" w:sz="4" w:space="4" w:color="auto"/>
          <w:bottom w:val="single" w:sz="4" w:space="1" w:color="auto"/>
          <w:right w:val="single" w:sz="4" w:space="4" w:color="auto"/>
        </w:pBdr>
        <w:spacing w:before="17" w:after="240"/>
        <w:ind w:left="210" w:right="210"/>
        <w:rPr>
          <w:b/>
          <w:i/>
          <w:sz w:val="24"/>
          <w:lang w:val="fr-FR"/>
        </w:rPr>
      </w:pPr>
      <w:r w:rsidRPr="00A41548">
        <w:rPr>
          <w:b/>
          <w:i/>
          <w:sz w:val="24"/>
          <w:lang w:val="fr-FR"/>
        </w:rPr>
        <w:t>Annexe 4 : Jeu accessible via la page Facebook de l’enseigne de restauration.</w:t>
      </w:r>
    </w:p>
    <w:p w:rsidR="00D312E4" w:rsidRPr="00A41548" w:rsidRDefault="00D312E4">
      <w:pPr>
        <w:pStyle w:val="Corpsdetexte"/>
        <w:rPr>
          <w:sz w:val="20"/>
          <w:lang w:val="fr-FR"/>
        </w:rPr>
      </w:pPr>
    </w:p>
    <w:p w:rsidR="00D312E4" w:rsidRPr="00A41548" w:rsidRDefault="00537070">
      <w:pPr>
        <w:pStyle w:val="Corpsdetexte"/>
        <w:spacing w:before="8"/>
        <w:rPr>
          <w:sz w:val="16"/>
          <w:lang w:val="fr-FR"/>
        </w:rPr>
      </w:pPr>
      <w:r w:rsidRPr="00A41548">
        <w:rPr>
          <w:noProof/>
          <w:lang w:val="fr-FR"/>
        </w:rPr>
        <w:drawing>
          <wp:inline distT="0" distB="0" distL="0" distR="0" wp14:anchorId="0900E336" wp14:editId="54909F78">
            <wp:extent cx="6407150" cy="28917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7150" cy="2891790"/>
                    </a:xfrm>
                    <a:prstGeom prst="rect">
                      <a:avLst/>
                    </a:prstGeom>
                  </pic:spPr>
                </pic:pic>
              </a:graphicData>
            </a:graphic>
          </wp:inline>
        </w:drawing>
      </w:r>
    </w:p>
    <w:p w:rsidR="00D312E4" w:rsidRPr="00A41548" w:rsidRDefault="0042023B">
      <w:pPr>
        <w:pStyle w:val="Corpsdetexte"/>
        <w:spacing w:before="93"/>
        <w:ind w:left="5342"/>
        <w:rPr>
          <w:lang w:val="fr-FR"/>
        </w:rPr>
      </w:pPr>
      <w:r w:rsidRPr="00A41548">
        <w:rPr>
          <w:lang w:val="fr-FR"/>
        </w:rPr>
        <w:t xml:space="preserve">Source : </w:t>
      </w:r>
      <w:bookmarkStart w:id="0" w:name="_GoBack"/>
      <w:r w:rsidRPr="00A41548">
        <w:rPr>
          <w:lang w:val="fr-FR"/>
        </w:rPr>
        <w:t>https://facebook.com/poivrerouge</w:t>
      </w:r>
      <w:bookmarkEnd w:id="0"/>
    </w:p>
    <w:p w:rsidR="00D312E4" w:rsidRPr="00A41548" w:rsidRDefault="00D312E4" w:rsidP="000210FA">
      <w:pPr>
        <w:spacing w:before="62"/>
        <w:rPr>
          <w:sz w:val="20"/>
          <w:lang w:val="fr-FR"/>
        </w:rPr>
      </w:pPr>
    </w:p>
    <w:sectPr w:rsidR="00D312E4" w:rsidRPr="00A41548" w:rsidSect="00B01B41">
      <w:pgSz w:w="11910" w:h="16840"/>
      <w:pgMar w:top="1400" w:right="919" w:bottom="1179" w:left="92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CAD" w:rsidRDefault="00BC1CAD">
      <w:r>
        <w:separator/>
      </w:r>
    </w:p>
  </w:endnote>
  <w:endnote w:type="continuationSeparator" w:id="0">
    <w:p w:rsidR="00BC1CAD" w:rsidRDefault="00B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2E4" w:rsidRDefault="006024EE" w:rsidP="006024EE">
    <w:pPr>
      <w:pStyle w:val="Corpsdetexte"/>
      <w:pBdr>
        <w:top w:val="thinThickSmallGap" w:sz="24" w:space="8" w:color="7F7F7F" w:themeColor="text1" w:themeTint="80"/>
      </w:pBdr>
      <w:rPr>
        <w:sz w:val="20"/>
      </w:rPr>
    </w:pPr>
    <w:r>
      <w:rPr>
        <w:rFonts w:ascii="Cambria" w:hAnsi="Cambria"/>
        <w:sz w:val="22"/>
      </w:rPr>
      <w:t xml:space="preserve">Poivre Rouge </w:t>
    </w:r>
    <w:r>
      <w:rPr>
        <w:rFonts w:ascii="Calibri" w:hAnsi="Calibri"/>
        <w:sz w:val="22"/>
      </w:rPr>
      <w:t xml:space="preserve">- Sujet </w:t>
    </w:r>
    <w:r w:rsidRPr="00B42EC2">
      <w:rPr>
        <w:sz w:val="20"/>
      </w:rPr>
      <w:ptab w:relativeTo="margin" w:alignment="center" w:leader="none"/>
    </w:r>
    <w:r w:rsidRPr="00B42EC2">
      <w:rPr>
        <w:sz w:val="20"/>
      </w:rPr>
      <w:ptab w:relativeTo="margin" w:alignment="right" w:leader="none"/>
    </w:r>
    <w:r>
      <w:rPr>
        <w:sz w:val="20"/>
      </w:rPr>
      <w:t xml:space="preserve">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CAD" w:rsidRDefault="00BC1CAD">
      <w:r>
        <w:separator/>
      </w:r>
    </w:p>
  </w:footnote>
  <w:footnote w:type="continuationSeparator" w:id="0">
    <w:p w:rsidR="00BC1CAD" w:rsidRDefault="00BC1CAD">
      <w:r>
        <w:continuationSeparator/>
      </w:r>
    </w:p>
  </w:footnote>
  <w:footnote w:id="1">
    <w:p w:rsidR="006024EE" w:rsidRPr="00A41548" w:rsidRDefault="006024EE" w:rsidP="006024EE">
      <w:pPr>
        <w:spacing w:before="62"/>
        <w:ind w:left="212"/>
        <w:rPr>
          <w:sz w:val="20"/>
          <w:lang w:val="fr-FR"/>
        </w:rPr>
      </w:pPr>
      <w:r>
        <w:rPr>
          <w:rStyle w:val="Appelnotedebasdep"/>
        </w:rPr>
        <w:footnoteRef/>
      </w:r>
      <w:r>
        <w:t xml:space="preserve"> </w:t>
      </w:r>
      <w:r>
        <w:rPr>
          <w:sz w:val="20"/>
        </w:rPr>
        <w:t xml:space="preserve">Click &amp; collect : </w:t>
      </w:r>
      <w:r w:rsidRPr="00A41548">
        <w:rPr>
          <w:sz w:val="20"/>
          <w:lang w:val="fr-FR"/>
        </w:rPr>
        <w:t>réservation, commande et paiement en ligne.</w:t>
      </w:r>
    </w:p>
    <w:p w:rsidR="006024EE" w:rsidRPr="006024EE" w:rsidRDefault="006024EE" w:rsidP="006024EE">
      <w:pPr>
        <w:spacing w:before="62"/>
        <w:ind w:left="212"/>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FAA"/>
    <w:multiLevelType w:val="hybridMultilevel"/>
    <w:tmpl w:val="62F262EE"/>
    <w:lvl w:ilvl="0" w:tplc="CA7474F0">
      <w:numFmt w:val="bullet"/>
      <w:lvlText w:val=""/>
      <w:lvlJc w:val="left"/>
      <w:pPr>
        <w:ind w:left="1029" w:hanging="348"/>
      </w:pPr>
      <w:rPr>
        <w:rFonts w:ascii="Symbol" w:eastAsia="Symbol" w:hAnsi="Symbol" w:cs="Symbol" w:hint="default"/>
        <w:w w:val="100"/>
        <w:sz w:val="24"/>
        <w:szCs w:val="24"/>
      </w:rPr>
    </w:lvl>
    <w:lvl w:ilvl="1" w:tplc="B21C5E4C">
      <w:numFmt w:val="bullet"/>
      <w:lvlText w:val="•"/>
      <w:lvlJc w:val="left"/>
      <w:pPr>
        <w:ind w:left="1934" w:hanging="348"/>
      </w:pPr>
      <w:rPr>
        <w:rFonts w:hint="default"/>
      </w:rPr>
    </w:lvl>
    <w:lvl w:ilvl="2" w:tplc="FA985F60">
      <w:numFmt w:val="bullet"/>
      <w:lvlText w:val="•"/>
      <w:lvlJc w:val="left"/>
      <w:pPr>
        <w:ind w:left="2849" w:hanging="348"/>
      </w:pPr>
      <w:rPr>
        <w:rFonts w:hint="default"/>
      </w:rPr>
    </w:lvl>
    <w:lvl w:ilvl="3" w:tplc="3C3E608A">
      <w:numFmt w:val="bullet"/>
      <w:lvlText w:val="•"/>
      <w:lvlJc w:val="left"/>
      <w:pPr>
        <w:ind w:left="3763" w:hanging="348"/>
      </w:pPr>
      <w:rPr>
        <w:rFonts w:hint="default"/>
      </w:rPr>
    </w:lvl>
    <w:lvl w:ilvl="4" w:tplc="2848CF3A">
      <w:numFmt w:val="bullet"/>
      <w:lvlText w:val="•"/>
      <w:lvlJc w:val="left"/>
      <w:pPr>
        <w:ind w:left="4678" w:hanging="348"/>
      </w:pPr>
      <w:rPr>
        <w:rFonts w:hint="default"/>
      </w:rPr>
    </w:lvl>
    <w:lvl w:ilvl="5" w:tplc="73F4B624">
      <w:numFmt w:val="bullet"/>
      <w:lvlText w:val="•"/>
      <w:lvlJc w:val="left"/>
      <w:pPr>
        <w:ind w:left="5593" w:hanging="348"/>
      </w:pPr>
      <w:rPr>
        <w:rFonts w:hint="default"/>
      </w:rPr>
    </w:lvl>
    <w:lvl w:ilvl="6" w:tplc="314ED32C">
      <w:numFmt w:val="bullet"/>
      <w:lvlText w:val="•"/>
      <w:lvlJc w:val="left"/>
      <w:pPr>
        <w:ind w:left="6507" w:hanging="348"/>
      </w:pPr>
      <w:rPr>
        <w:rFonts w:hint="default"/>
      </w:rPr>
    </w:lvl>
    <w:lvl w:ilvl="7" w:tplc="FAF29778">
      <w:numFmt w:val="bullet"/>
      <w:lvlText w:val="•"/>
      <w:lvlJc w:val="left"/>
      <w:pPr>
        <w:ind w:left="7422" w:hanging="348"/>
      </w:pPr>
      <w:rPr>
        <w:rFonts w:hint="default"/>
      </w:rPr>
    </w:lvl>
    <w:lvl w:ilvl="8" w:tplc="69A686F0">
      <w:numFmt w:val="bullet"/>
      <w:lvlText w:val="•"/>
      <w:lvlJc w:val="left"/>
      <w:pPr>
        <w:ind w:left="8337"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12E4"/>
    <w:rsid w:val="000210FA"/>
    <w:rsid w:val="003F06B5"/>
    <w:rsid w:val="0042023B"/>
    <w:rsid w:val="00537070"/>
    <w:rsid w:val="006024EE"/>
    <w:rsid w:val="00A41548"/>
    <w:rsid w:val="00B01B41"/>
    <w:rsid w:val="00BC1CAD"/>
    <w:rsid w:val="00C860C2"/>
    <w:rsid w:val="00D31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AE1A"/>
  <w15:docId w15:val="{3494EFCD-2E40-4993-93FB-1E60954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0"/>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hanging="72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292" w:lineRule="exact"/>
      <w:ind w:left="1029" w:hanging="34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024EE"/>
    <w:pPr>
      <w:tabs>
        <w:tab w:val="center" w:pos="4536"/>
        <w:tab w:val="right" w:pos="9072"/>
      </w:tabs>
    </w:pPr>
  </w:style>
  <w:style w:type="character" w:customStyle="1" w:styleId="En-tteCar">
    <w:name w:val="En-tête Car"/>
    <w:basedOn w:val="Policepardfaut"/>
    <w:link w:val="En-tte"/>
    <w:uiPriority w:val="99"/>
    <w:rsid w:val="006024EE"/>
    <w:rPr>
      <w:rFonts w:ascii="Arial" w:eastAsia="Arial" w:hAnsi="Arial" w:cs="Arial"/>
    </w:rPr>
  </w:style>
  <w:style w:type="paragraph" w:styleId="Pieddepage">
    <w:name w:val="footer"/>
    <w:basedOn w:val="Normal"/>
    <w:link w:val="PieddepageCar"/>
    <w:uiPriority w:val="99"/>
    <w:unhideWhenUsed/>
    <w:rsid w:val="006024EE"/>
    <w:pPr>
      <w:tabs>
        <w:tab w:val="center" w:pos="4536"/>
        <w:tab w:val="right" w:pos="9072"/>
      </w:tabs>
    </w:pPr>
  </w:style>
  <w:style w:type="character" w:customStyle="1" w:styleId="PieddepageCar">
    <w:name w:val="Pied de page Car"/>
    <w:basedOn w:val="Policepardfaut"/>
    <w:link w:val="Pieddepage"/>
    <w:uiPriority w:val="99"/>
    <w:rsid w:val="006024EE"/>
    <w:rPr>
      <w:rFonts w:ascii="Arial" w:eastAsia="Arial" w:hAnsi="Arial" w:cs="Arial"/>
    </w:rPr>
  </w:style>
  <w:style w:type="paragraph" w:styleId="Notedebasdepage">
    <w:name w:val="footnote text"/>
    <w:basedOn w:val="Normal"/>
    <w:link w:val="NotedebasdepageCar"/>
    <w:uiPriority w:val="99"/>
    <w:semiHidden/>
    <w:unhideWhenUsed/>
    <w:rsid w:val="006024EE"/>
    <w:rPr>
      <w:sz w:val="20"/>
      <w:szCs w:val="20"/>
    </w:rPr>
  </w:style>
  <w:style w:type="character" w:customStyle="1" w:styleId="NotedebasdepageCar">
    <w:name w:val="Note de bas de page Car"/>
    <w:basedOn w:val="Policepardfaut"/>
    <w:link w:val="Notedebasdepage"/>
    <w:uiPriority w:val="99"/>
    <w:semiHidden/>
    <w:rsid w:val="006024EE"/>
    <w:rPr>
      <w:rFonts w:ascii="Arial" w:eastAsia="Arial" w:hAnsi="Arial" w:cs="Arial"/>
      <w:sz w:val="20"/>
      <w:szCs w:val="20"/>
    </w:rPr>
  </w:style>
  <w:style w:type="character" w:styleId="Appelnotedebasdep">
    <w:name w:val="footnote reference"/>
    <w:basedOn w:val="Policepardfaut"/>
    <w:uiPriority w:val="99"/>
    <w:semiHidden/>
    <w:unhideWhenUsed/>
    <w:rsid w:val="006024EE"/>
    <w:rPr>
      <w:vertAlign w:val="superscript"/>
    </w:rPr>
  </w:style>
  <w:style w:type="paragraph" w:styleId="Textedebulles">
    <w:name w:val="Balloon Text"/>
    <w:basedOn w:val="Normal"/>
    <w:link w:val="TextedebullesCar"/>
    <w:uiPriority w:val="99"/>
    <w:semiHidden/>
    <w:unhideWhenUsed/>
    <w:rsid w:val="003F06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06B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sa-conso.fr/loisirs-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wikipedia.org/wiki/2014" TargetMode="External"/><Relationship Id="rId4" Type="http://schemas.openxmlformats.org/officeDocument/2006/relationships/webSettings" Target="webSettings.xml"/><Relationship Id="rId9" Type="http://schemas.openxmlformats.org/officeDocument/2006/relationships/hyperlink" Target="https://fr.wikipedia.org/wiki/19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5</cp:revision>
  <dcterms:created xsi:type="dcterms:W3CDTF">2019-03-11T01:11:00Z</dcterms:created>
  <dcterms:modified xsi:type="dcterms:W3CDTF">2019-03-26T08:48:00Z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2019-03-11T00:00:00Z</vt:filetime>
  </property>
</Properties>
</file>